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EXECUTIVE SUMMARY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1F6F8B"/>
          <w:sz w:val="24"/>
          <w:szCs w:val="24"/>
        </w:rPr>
        <w:t xml:space="preserve">Care Transition Efficiency &amp; Placement Outcome Analytics — HHS UAC Program</w:t>
      </w:r>
    </w:p>
    <w:p>
      <w:pPr>
        <w:spacing w:after="3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Data covers January 12, 2023 – December 21, 2025 (720 reporting days)</w:t>
      </w:r>
    </w:p>
    <w:p>
      <w:pPr>
        <w:pStyle w:val="Heading1"/>
        <w:pBdr>
          <w:bottom w:val="single" w:color="1F6F8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Why This Matters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UAC Program moves children through four linked stages: apprehension into CBP custody, transfer to HHS care, sheltering and case management, and discharge to a vetted sponsor. Aggregate headcounts are tracked routinely, but how efficiently children move through this pipeline — and where delays build up — has not been. This analysis turns three years of daily reporting into five process-efficiency indicators so leadership can see bottlenecks before they become capacity crises.</w:t>
      </w:r>
    </w:p>
    <w:p>
      <w:pPr>
        <w:pStyle w:val="Heading1"/>
        <w:pBdr>
          <w:bottom w:val="single" w:color="1F6F8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Headline Findings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System volume has fallen sharply. The HHS care census dropped about 78%, from a December 2023 peak near 11,069 children to 2,484 by December 2025.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Efficiency did not improve as volume fell. The Transfer Efficiency Ratio (CBP-to-HHS movement relative to custody load) weakened every year — 0.83 (2023) → 0.78 (2024) → 0.46 (2025).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Placements became less consistent. The Outcome Stability Score, which tracks how predictable daily discharge performance is, fell from about 0.78 in 2023–2024 to 0.55 in 2025.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Backlogs build in bursts, not steadily. The longest sustained buildup ran 12 consecutive reporting days (Aug–Sep 2024); these buildups are typically cleared later by large discharge waves rather than continuous processing.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Data gap: the published feed contains almost no Friday or Saturday records, so true weekday-vs-weekend comparisons are not currently possible.</w:t>
      </w:r>
    </w:p>
    <w:p>
      <w:pPr>
        <w:spacing w:after="60" w:before="10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Children in HHS Care — daily census, 2023–2025.</w:t>
      </w:r>
    </w:p>
    <w:p>
      <w:pPr>
        <w:pStyle w:val="Heading1"/>
        <w:pBdr>
          <w:bottom w:val="single" w:color="1F6F8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KPI Scorecard by Year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20"/>
        <w:gridCol w:w="1820"/>
        <w:gridCol w:w="182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18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2023</w:t>
            </w:r>
          </w:p>
        </w:tc>
        <w:tc>
          <w:tcPr>
            <w:tcW w:type="dxa" w:w="18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2024</w:t>
            </w:r>
          </w:p>
        </w:tc>
        <w:tc>
          <w:tcPr>
            <w:tcW w:type="dxa" w:w="18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Transfer Efficiency Ratio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0.83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0.78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0.46</w:t>
            </w:r>
          </w:p>
        </w:tc>
      </w:tr>
      <w:tr>
        <w:tc>
          <w:tcPr>
            <w:tcW w:type="dxa" w:w="4200"/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Discharge Effectiveness</w:t>
            </w:r>
          </w:p>
        </w:tc>
        <w:tc>
          <w:tcPr>
            <w:tcW w:type="dxa" w:w="1820"/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3.3%</w:t>
            </w:r>
          </w:p>
        </w:tc>
        <w:tc>
          <w:tcPr>
            <w:tcW w:type="dxa" w:w="1820"/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2.9%</w:t>
            </w:r>
          </w:p>
        </w:tc>
        <w:tc>
          <w:tcPr>
            <w:tcW w:type="dxa" w:w="1820"/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0.9%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Pipeline Throughput (30-day)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2.54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1.55</w:t>
            </w:r>
          </w:p>
        </w:tc>
        <w:tc>
          <w:tcPr>
            <w:tcW w:type="dxa" w:w="18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1.99</w:t>
            </w:r>
          </w:p>
        </w:tc>
      </w:tr>
      <w:tr>
        <w:tc>
          <w:tcPr>
            <w:tcW w:type="dxa" w:w="4200"/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Outcome Stability Score</w:t>
            </w:r>
          </w:p>
        </w:tc>
        <w:tc>
          <w:tcPr>
            <w:tcW w:type="dxa" w:w="1820"/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0.78</w:t>
            </w:r>
          </w:p>
        </w:tc>
        <w:tc>
          <w:tcPr>
            <w:tcW w:type="dxa" w:w="1820"/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0.77</w:t>
            </w:r>
          </w:p>
        </w:tc>
        <w:tc>
          <w:tcPr>
            <w:tcW w:type="dxa" w:w="1820"/>
            <w:shd w:fill="EAF1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0.55</w:t>
            </w:r>
          </w:p>
        </w:tc>
      </w:tr>
    </w:tbl>
    <w:p>
      <w:pPr>
        <w:pStyle w:val="Heading1"/>
        <w:pBdr>
          <w:bottom w:val="single" w:color="1F6F8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What We Recommend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Track cohort-level (entry-to-discharge) data so true wait times can be measured directly.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Treat the Transfer Efficiency Ratio as a standing bottleneck indicator and review CBP-side transfer capacity.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Investigate what drove the 2025 drop in placement consistency (staffing, sponsor vetting, or procedural changes).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Build automated backlog alerts to flag buildup within days, not after the fact.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Extend reporting to include Friday and Saturday for a complete weekly picture.</w:t>
      </w:r>
    </w:p>
    <w:p>
      <w:pPr>
        <w:pStyle w:val="Heading1"/>
        <w:pBdr>
          <w:bottom w:val="single" w:color="1F6F8B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Supporting Materials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full research paper (detailed methodology, chart-by-chart findings, and limitations) and an interactive Streamlit dashboard accompany this summary for teams that want to explore the underlying data directly.</w:t>
      </w:r>
    </w:p>
    <w:sectPr>
      <w:footerReference w:type="default" r:id="rId7"/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Executive Summary — Care Transition Efficiency &amp; Placement Outcome Analytics  |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135b7164410508715e8349f24dac0064983485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2026-07-05T10:01:33.343Z</dcterms:created>
  <dcterms:modified xsi:type="dcterms:W3CDTF">2026-07-05T10:01:33.343Z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