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line"/>
      </w:pPr>
      <w:r>
        <w:t>One Third of Florida's Banks and Credit Unions Not Yet Protected Against Future Quantum Decryption, Open-Source Scan Finds</w:t>
      </w:r>
    </w:p>
    <w:p>
      <w:pPr>
        <w:pStyle w:val="Subhead"/>
      </w:pPr>
      <w:r>
        <w:t>Manteiga Foundation publishes a state-of-readiness note on 81 Florida institutions: nothing is broken today, the risk is time, and for most the fix is one setting</w:t>
      </w:r>
    </w:p>
    <w:p>
      <w:pPr>
        <w:pStyle w:val="Body"/>
      </w:pPr>
      <w:r>
        <w:rPr>
          <w:b/>
        </w:rPr>
        <w:t xml:space="preserve">[CITY], Fla., Oct. 20, 2026 /PRNewswire/ -- </w:t>
      </w:r>
      <w:r>
        <w:t>Of 81 Florida-headquartered banks and credit unions, 54 already protect their customers' connections against future quantum decryption and 27 do not yet, according to a state-of-readiness note published today by Manteiga Foundation, a Florida public benefit company. The note, the first from the foundation's Quantum Ready Labs, lists every institution and its result: quantumreadylabs.com/studies/florida-financial-2026q4.</w:t>
      </w:r>
    </w:p>
    <w:p>
      <w:pPr>
        <w:pStyle w:val="Body"/>
      </w:pPr>
      <w:r>
        <w:t>Nothing is broken today. No account, login or transaction is at risk from what the note describes; every connection tested is encrypted with algorithms no existing computer can break.</w:t>
      </w:r>
    </w:p>
    <w:p>
      <w:pPr>
        <w:pStyle w:val="Body"/>
      </w:pPr>
      <w:r>
        <w:t>The risk is time. Encrypted traffic can be recorded now and decrypted once a large enough quantum computer exists, so anything that must stay confidential for years is already inside the window. That window is narrowing: in 2025 the estimated size of the machine needed to break today's key exchange fell from about twenty million qubits to under one million, and NIST has set 2030 to begin retiring today's key exchange and 2035 to end it. Browsers already protect traffic the new way.</w:t>
      </w:r>
    </w:p>
    <w:p>
      <w:pPr>
        <w:pStyle w:val="Body"/>
      </w:pPr>
      <w:r>
        <w:t>The fix is small. The 27 split in two. Ten are Exposed, their sites still on a protocol generation that cannot carry post-quantum protection; the next step is to enable TLS 1.3. Seventeen are At risk, on a modern protocol with the protection not switched on; the next step is one setting, the post-quantum key exchange (X25519MLKEM768), a configuration line or a toggle on current servers. The 54 are Protected (30) or Ready (24). The median score is 85 of 100; the note uses four plain words, no letter grades.</w:t>
      </w:r>
    </w:p>
    <w:p>
      <w:pPr>
        <w:pStyle w:val="Body"/>
      </w:pPr>
      <w:r>
        <w:t>"Nothing is broken today, and that is exactly why this is the moment to act," said Jaime Manteiga, Co-Founder of Manteiga Foundation. "Confidentiality is the urgent part of the quantum transition, the fix is small, and most of these institutions are one setting away. We built the scanner so that anyone can see where a host stands in a second and what to do next."</w:t>
      </w:r>
    </w:p>
    <w:p>
      <w:pPr>
        <w:pStyle w:val="Body"/>
      </w:pPr>
      <w:r>
        <w:t>Quantum Ready Labs is free and open source under the MIT licence. Typing a host name at quantumreadylabs.com opens a handful of connections to it, as a browser visit would, and returns the stage, a score for quantum readiness alone, the one next step and the standards cited (NIST IR 8547, FIPS 203, CNSA 2.0), shareable by link or as a five-page PDF; an open API runs the same test for services.</w:t>
      </w:r>
    </w:p>
    <w:p>
      <w:pPr>
        <w:pStyle w:val="Body"/>
      </w:pPr>
      <w:r>
        <w:t>Each institution's public primary domain was tested on October 18, 2026 with fourteen TLS handshakes and one ordinary connection; no page was opened, no login attempted. Every Exposed result was cross-checked with OpenSSL and curl. The population, from public regulator lists with each domain verified, will be re-scanned quarterly; any institution can run a fresh test at once.</w:t>
      </w:r>
    </w:p>
    <w:p>
      <w:pPr>
        <w:pStyle w:val="Body"/>
      </w:pPr>
      <w:r>
        <w:t>For organizations that want help making the change, the foundation operates N30.ai, its cybersecurity consulting practice. The scanner and its results stay free and open.</w:t>
      </w:r>
    </w:p>
    <w:p>
      <w:pPr>
        <w:pStyle w:val="Body"/>
      </w:pPr>
      <w:r>
        <w:rPr>
          <w:b/>
        </w:rPr>
        <w:t>About Manteiga Foundation</w:t>
      </w:r>
    </w:p>
    <w:p>
      <w:pPr>
        <w:pStyle w:val="Boiler"/>
      </w:pPr>
      <w:r>
        <w:t>Manteiga Foundation is a Florida public benefit company at the meeting of technology and art, bringing more beauty into technology through open-source tools for the public good, among them Quantum Ready Labs and medet.ink. manteiga.org.</w:t>
      </w:r>
    </w:p>
    <w:p>
      <w:pPr>
        <w:pStyle w:val="Body"/>
      </w:pPr>
      <w:r>
        <w:rPr>
          <w:b/>
        </w:rPr>
        <w:t>About N30.ai</w:t>
      </w:r>
    </w:p>
    <w:p>
      <w:pPr>
        <w:pStyle w:val="Boiler"/>
      </w:pPr>
      <w:r>
        <w:t>N30.ai is Manteiga Foundation's cybersecurity consulting practice for the post-quantum transition and related security work. More at n30.ai.</w:t>
      </w:r>
    </w:p>
    <w:p>
      <w:pPr>
        <w:pStyle w:val="Body"/>
      </w:pPr>
      <w:r>
        <w:rPr>
          <w:b/>
        </w:rPr>
        <w:t>Media contact</w:t>
      </w:r>
    </w:p>
    <w:p>
      <w:pPr>
        <w:pStyle w:val="Boiler"/>
      </w:pPr>
      <w:r>
        <w:t>Jaime Manteiga, Co-Founder, Manteiga Foundation</w:t>
        <w:br/>
        <w:t>jaime@manteiga.org  |  305-709-2909</w:t>
        <w:br/>
        <w:t>quantumreadylabs.com/studies/florida-financial-2026q4  |  github.com/manteiga-foundation/quantum-ready-labs</w:t>
      </w:r>
    </w:p>
    <w:p>
      <w:pPr>
        <w:pStyle w:val="Boiler"/>
      </w:pPr>
      <w:r>
        <w:t>###</w:t>
      </w:r>
    </w:p>
    <w:p>
      <w:r>
        <w:br w:type="page"/>
      </w:r>
    </w:p>
    <w:p>
      <w:pPr>
        <w:pStyle w:val="Heading2"/>
      </w:pPr>
      <w:r>
        <w:t>Submission notes (not part of the release)</w:t>
      </w:r>
    </w:p>
    <w:p>
      <w:pPr>
        <w:pStyle w:val="Note"/>
      </w:pPr>
      <w:r>
        <w:t>Placeholder left to fill before submission: [CITY] in the dateline. Name, title and contact are in.</w:t>
      </w:r>
    </w:p>
    <w:p>
      <w:pPr>
        <w:pStyle w:val="Note"/>
      </w:pPr>
      <w:r>
        <w:t>Word count of the release, headline to ###: 599 (PR Pro allows 600; boilerplate and contact lines count). Any addition needs a matching cut; the method paragraph is the one to shorten.</w:t>
      </w:r>
    </w:p>
    <w:p>
      <w:pPr>
        <w:pStyle w:val="Note"/>
      </w:pPr>
      <w:r>
        <w:t>Images for the wire (PNG, two included in the package): docs/readme/hero.png (the scanner) and web/public/og/study-florida-financial-2026q4.png (the note's figure, 1200x630). The GIF animates only on LinkedIn, Hacker News comments and the note page; the wire shows stills.</w:t>
      </w:r>
    </w:p>
    <w:p>
      <w:pPr>
        <w:pStyle w:val="Note"/>
      </w:pPr>
      <w:r>
        <w:t>Industry target lists (three): Computer and Electronics or Cybersecurity; Banking and Financial Services; Technology (general). Geographic: Florida state and national.</w:t>
      </w:r>
    </w:p>
    <w:p>
      <w:pPr>
        <w:pStyle w:val="Note"/>
      </w:pPr>
      <w:r>
        <w:t>Timing: Tuesday, October 20, 2026, 8:00 a.m. ET. Post the Show HN and the LinkedIn post the same morning, both linking to the note, not the landing page. The page is live now at the URL above; the OG preview (title, figure image) is in place for LinkedIn unfurls.</w:t>
      </w:r>
    </w:p>
    <w:p>
      <w:pPr>
        <w:pStyle w:val="Note"/>
      </w:pPr>
      <w:r>
        <w:t>Before 8:00: the n30.ai page should state what the practice does and how to reach it, and the fictitious-name filing should be on record, since the release names N30.ai as the foundation's practice. The 27 letters should be mailed the same week.</w:t>
      </w:r>
    </w:p>
    <w:p>
      <w:pPr>
        <w:pStyle w:val="Note"/>
      </w:pPr>
      <w:r>
        <w:t>What the release does not do, on purpose: name any institution (the note does, all 81, alphabetically), compare anyone with the median, or use a letter grade. Every number in it is the number the page computes from the study file.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Manteiga Foundation  |  quantumreadylabs.com  |  Draft for review, 19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FOR IMMEDIATE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line">
    <w:name w:val="Headline"/>
    <w:rPr>
      <w:rFonts w:ascii="Georgia" w:hAnsi="Georgia"/>
      <w:b/>
    </w:rPr>
  </w:style>
  <w:style w:type="paragraph" w:customStyle="1" w:styleId="Subhead">
    <w:name w:val="Subhead"/>
    <w:rPr>
      <w:rFonts w:ascii="Georgia" w:hAnsi="Georgia"/>
      <w:i/>
      <w:color w:val="333333"/>
    </w:rPr>
  </w:style>
  <w:style w:type="paragraph" w:customStyle="1" w:styleId="Body">
    <w:name w:val="Body"/>
    <w:rPr>
      <w:rFonts w:ascii="Calibri" w:hAnsi="Calibri"/>
    </w:rPr>
  </w:style>
  <w:style w:type="paragraph" w:customStyle="1" w:styleId="Boiler">
    <w:name w:val="Boiler"/>
    <w:rPr>
      <w:rFonts w:ascii="Calibri" w:hAnsi="Calibri"/>
    </w:rPr>
  </w:style>
  <w:style w:type="paragraph" w:customStyle="1" w:styleId="Note">
    <w:name w:val="Note"/>
    <w:rPr>
      <w:rFonts w:ascii="Calibri" w:hAnsi="Calibri"/>
      <w:color w:val="7A4B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