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Supermarket Sales Analysis</w:t>
      </w:r>
    </w:p>
    <w:p>
      <w:pPr>
        <w:jc w:val="center"/>
      </w:pPr>
      <w:r>
        <w:rPr>
          <w:color w:val="4361EE"/>
          <w:sz w:val="36"/>
        </w:rPr>
        <w:t>Data Analytics Project</w:t>
      </w:r>
    </w:p>
    <w:p/>
    <w:p>
      <w:pPr>
        <w:jc w:val="center"/>
      </w:pPr>
      <w:r>
        <w:rPr>
          <w:color w:val="4361EE"/>
        </w:rPr>
        <w:t>__________________________________________________</w:t>
      </w:r>
    </w:p>
    <w:p/>
    <w:p>
      <w:pPr>
        <w:jc w:val="center"/>
      </w:pPr>
      <w:r>
        <w:rPr>
          <w:b/>
          <w:sz w:val="28"/>
        </w:rPr>
        <w:t>Prepared by: Manthan</w:t>
      </w:r>
    </w:p>
    <w:p>
      <w:pPr>
        <w:jc w:val="center"/>
      </w:pPr>
      <w:r>
        <w:rPr>
          <w:color w:val="666666"/>
          <w:sz w:val="24"/>
        </w:rPr>
        <w:t>September 2026</w:t>
      </w:r>
    </w:p>
    <w:p>
      <w:r>
        <w:br w:type="page"/>
      </w:r>
    </w:p>
    <w:p>
      <w:pPr>
        <w:pStyle w:val="Heading1"/>
      </w:pPr>
      <w:r>
        <w:rPr>
          <w:color w:val="1A1A2E"/>
        </w:rPr>
        <w:t>Table of Contents</w:t>
      </w:r>
    </w:p>
    <w:p>
      <w:pPr>
        <w:spacing w:before="40" w:after="40"/>
      </w:pPr>
      <w:r>
        <w:rPr>
          <w:sz w:val="22"/>
        </w:rPr>
        <w:t>1. Problem Statement</w:t>
      </w:r>
    </w:p>
    <w:p>
      <w:pPr>
        <w:spacing w:before="40" w:after="40"/>
      </w:pPr>
      <w:r>
        <w:rPr>
          <w:sz w:val="22"/>
        </w:rPr>
        <w:t>2. Dataset Description</w:t>
      </w:r>
    </w:p>
    <w:p>
      <w:pPr>
        <w:spacing w:before="40" w:after="40"/>
      </w:pPr>
      <w:r>
        <w:rPr>
          <w:sz w:val="22"/>
        </w:rPr>
        <w:t>3. Methodology / Steps Used for Analysis</w:t>
      </w:r>
    </w:p>
    <w:p>
      <w:pPr>
        <w:spacing w:before="40" w:after="40"/>
      </w:pPr>
      <w:r>
        <w:rPr>
          <w:sz w:val="22"/>
        </w:rPr>
        <w:t>4. Analysis Results</w:t>
      </w:r>
    </w:p>
    <w:p>
      <w:pPr>
        <w:spacing w:before="40" w:after="40"/>
      </w:pPr>
      <w:r>
        <w:rPr>
          <w:sz w:val="22"/>
        </w:rPr>
        <w:t xml:space="preserve">   4.1 Product Analysis</w:t>
      </w:r>
    </w:p>
    <w:p>
      <w:pPr>
        <w:spacing w:before="40" w:after="40"/>
      </w:pPr>
      <w:r>
        <w:rPr>
          <w:sz w:val="22"/>
        </w:rPr>
        <w:t xml:space="preserve">   4.2 Branch &amp; City Analysis</w:t>
      </w:r>
    </w:p>
    <w:p>
      <w:pPr>
        <w:spacing w:before="40" w:after="40"/>
      </w:pPr>
      <w:r>
        <w:rPr>
          <w:sz w:val="22"/>
        </w:rPr>
        <w:t xml:space="preserve">   4.3 Category Analysis</w:t>
      </w:r>
    </w:p>
    <w:p>
      <w:pPr>
        <w:spacing w:before="40" w:after="40"/>
      </w:pPr>
      <w:r>
        <w:rPr>
          <w:sz w:val="22"/>
        </w:rPr>
        <w:t xml:space="preserve">   4.4 Payment Method Analysis</w:t>
      </w:r>
    </w:p>
    <w:p>
      <w:pPr>
        <w:spacing w:before="40" w:after="40"/>
      </w:pPr>
      <w:r>
        <w:rPr>
          <w:sz w:val="22"/>
        </w:rPr>
        <w:t xml:space="preserve">   4.5 Customer Type Analysis</w:t>
      </w:r>
    </w:p>
    <w:p>
      <w:pPr>
        <w:spacing w:before="40" w:after="40"/>
      </w:pPr>
      <w:r>
        <w:rPr>
          <w:sz w:val="22"/>
        </w:rPr>
        <w:t xml:space="preserve">   4.6 Gender Analysis</w:t>
      </w:r>
    </w:p>
    <w:p>
      <w:pPr>
        <w:spacing w:before="40" w:after="40"/>
      </w:pPr>
      <w:r>
        <w:rPr>
          <w:sz w:val="22"/>
        </w:rPr>
        <w:t xml:space="preserve">   4.7 Rating Analysis</w:t>
      </w:r>
    </w:p>
    <w:p>
      <w:pPr>
        <w:spacing w:before="40" w:after="40"/>
      </w:pPr>
      <w:r>
        <w:rPr>
          <w:sz w:val="22"/>
        </w:rPr>
        <w:t xml:space="preserve">   4.8 Monthly Trend Analysis</w:t>
      </w:r>
    </w:p>
    <w:p>
      <w:pPr>
        <w:spacing w:before="40" w:after="40"/>
      </w:pPr>
      <w:r>
        <w:rPr>
          <w:sz w:val="22"/>
        </w:rPr>
        <w:t xml:space="preserve">   4.9 Correlation Analysis</w:t>
      </w:r>
    </w:p>
    <w:p>
      <w:pPr>
        <w:spacing w:before="40" w:after="40"/>
      </w:pPr>
      <w:r>
        <w:rPr>
          <w:sz w:val="22"/>
        </w:rPr>
        <w:t>5. Key Findings Summary</w:t>
      </w:r>
    </w:p>
    <w:p>
      <w:pPr>
        <w:spacing w:before="40" w:after="40"/>
      </w:pPr>
      <w:r>
        <w:rPr>
          <w:sz w:val="22"/>
        </w:rPr>
        <w:t>6. Business Recommendations</w:t>
      </w:r>
    </w:p>
    <w:p>
      <w:pPr>
        <w:spacing w:before="40" w:after="40"/>
      </w:pPr>
      <w:r>
        <w:rPr>
          <w:sz w:val="22"/>
        </w:rPr>
        <w:t>7. Conclusion</w:t>
      </w:r>
    </w:p>
    <w:p>
      <w:r>
        <w:br w:type="page"/>
      </w:r>
    </w:p>
    <w:p>
      <w:pPr>
        <w:pStyle w:val="Heading1"/>
      </w:pPr>
      <w:r>
        <w:rPr>
          <w:color w:val="1A1A2E"/>
        </w:rPr>
        <w:t>1. Problem Statement</w:t>
      </w:r>
    </w:p>
    <w:p>
      <w:r>
        <w:t>The aim of this project is to analyze supermarket sales data and extract useful information about products, branches, categories, customers, payment methods, and customer ratings. We use Exploratory Data Analysis (EDA) to turn the raw sales records into findings the supermarket can act on, from inventory planning to customer satisfaction.</w:t>
      </w:r>
    </w:p>
    <w:p>
      <w:pPr>
        <w:pStyle w:val="Heading1"/>
      </w:pPr>
      <w:r>
        <w:rPr>
          <w:color w:val="1A1A2E"/>
        </w:rPr>
        <w:t>2. Dataset Description</w:t>
      </w:r>
    </w:p>
    <w:p>
      <w:r>
        <w:t>The dataset contains 500 sales transactions from a supermarket chain operating across 4 branches in Indian cities. The data spans from January 2026 to July 2026.</w:t>
      </w:r>
    </w:p>
    <w:p>
      <w:pPr>
        <w:pStyle w:val="Heading2"/>
      </w:pPr>
      <w:r>
        <w:rPr>
          <w:color w:val="1A1A2E"/>
        </w:rPr>
        <w:t>Dataset Summary</w:t>
      </w:r>
    </w:p>
    <w:tbl>
      <w:tblPr>
        <w:tblStyle w:val="LightGrid-Accent1"/>
        <w:tblW w:type="auto" w:w="0"/>
        <w:jc w:val="center"/>
        <w:tblLook w:firstColumn="1" w:firstRow="1" w:lastColumn="0" w:lastRow="0" w:noHBand="0" w:noVBand="1" w:val="04A0"/>
      </w:tblPr>
      <w:tblGrid>
        <w:gridCol w:w="4680"/>
        <w:gridCol w:w="4680"/>
      </w:tblGrid>
      <w:tr>
        <w:tc>
          <w:tcPr>
            <w:tcW w:type="dxa" w:w="4680"/>
            <w:shd w:fill="1A1A2E" w:val="clear"/>
          </w:tcPr>
          <w:p>
            <w:pPr>
              <w:jc w:val="center"/>
            </w:pPr>
            <w:r>
              <w:rPr>
                <w:b/>
                <w:color w:val="FFFFFF"/>
                <w:sz w:val="20"/>
              </w:rPr>
              <w:t>Property</w:t>
            </w:r>
          </w:p>
        </w:tc>
        <w:tc>
          <w:tcPr>
            <w:tcW w:type="dxa" w:w="4680"/>
            <w:shd w:fill="1A1A2E" w:val="clear"/>
          </w:tcPr>
          <w:p>
            <w:pPr>
              <w:jc w:val="center"/>
            </w:pPr>
            <w:r>
              <w:rPr>
                <w:b/>
                <w:color w:val="FFFFFF"/>
                <w:sz w:val="20"/>
              </w:rPr>
              <w:t>Value</w:t>
            </w:r>
          </w:p>
        </w:tc>
      </w:tr>
      <w:tr>
        <w:tc>
          <w:tcPr>
            <w:tcW w:type="dxa" w:w="4680"/>
          </w:tcPr>
          <w:p>
            <w:pPr>
              <w:jc w:val="center"/>
            </w:pPr>
            <w:r>
              <w:rPr>
                <w:sz w:val="20"/>
              </w:rPr>
              <w:t>Total Records</w:t>
            </w:r>
          </w:p>
        </w:tc>
        <w:tc>
          <w:tcPr>
            <w:tcW w:type="dxa" w:w="4680"/>
          </w:tcPr>
          <w:p>
            <w:pPr>
              <w:jc w:val="center"/>
            </w:pPr>
            <w:r>
              <w:rPr>
                <w:sz w:val="20"/>
              </w:rPr>
              <w:t>500</w:t>
            </w:r>
          </w:p>
        </w:tc>
      </w:tr>
      <w:tr>
        <w:tc>
          <w:tcPr>
            <w:tcW w:type="dxa" w:w="4680"/>
          </w:tcPr>
          <w:p>
            <w:pPr>
              <w:jc w:val="center"/>
            </w:pPr>
            <w:r>
              <w:rPr>
                <w:sz w:val="20"/>
              </w:rPr>
              <w:t>Total Columns</w:t>
            </w:r>
          </w:p>
        </w:tc>
        <w:tc>
          <w:tcPr>
            <w:tcW w:type="dxa" w:w="4680"/>
          </w:tcPr>
          <w:p>
            <w:pPr>
              <w:jc w:val="center"/>
            </w:pPr>
            <w:r>
              <w:rPr>
                <w:sz w:val="20"/>
              </w:rPr>
              <w:t>13</w:t>
            </w:r>
          </w:p>
        </w:tc>
      </w:tr>
      <w:tr>
        <w:tc>
          <w:tcPr>
            <w:tcW w:type="dxa" w:w="4680"/>
          </w:tcPr>
          <w:p>
            <w:pPr>
              <w:jc w:val="center"/>
            </w:pPr>
            <w:r>
              <w:rPr>
                <w:sz w:val="20"/>
              </w:rPr>
              <w:t>Date Range</w:t>
            </w:r>
          </w:p>
        </w:tc>
        <w:tc>
          <w:tcPr>
            <w:tcW w:type="dxa" w:w="4680"/>
          </w:tcPr>
          <w:p>
            <w:pPr>
              <w:jc w:val="center"/>
            </w:pPr>
            <w:r>
              <w:rPr>
                <w:sz w:val="20"/>
              </w:rPr>
              <w:t>January 2026 - July 2026</w:t>
            </w:r>
          </w:p>
        </w:tc>
      </w:tr>
      <w:tr>
        <w:tc>
          <w:tcPr>
            <w:tcW w:type="dxa" w:w="4680"/>
          </w:tcPr>
          <w:p>
            <w:pPr>
              <w:jc w:val="center"/>
            </w:pPr>
            <w:r>
              <w:rPr>
                <w:sz w:val="20"/>
              </w:rPr>
              <w:t>Branches</w:t>
            </w:r>
          </w:p>
        </w:tc>
        <w:tc>
          <w:tcPr>
            <w:tcW w:type="dxa" w:w="4680"/>
          </w:tcPr>
          <w:p>
            <w:pPr>
              <w:jc w:val="center"/>
            </w:pPr>
            <w:r>
              <w:rPr>
                <w:sz w:val="20"/>
              </w:rPr>
              <w:t>4 (A-Jaipur, B-Delhi, C-Mumbai, D-Bengaluru)</w:t>
            </w:r>
          </w:p>
        </w:tc>
      </w:tr>
      <w:tr>
        <w:tc>
          <w:tcPr>
            <w:tcW w:type="dxa" w:w="4680"/>
          </w:tcPr>
          <w:p>
            <w:pPr>
              <w:jc w:val="center"/>
            </w:pPr>
            <w:r>
              <w:rPr>
                <w:sz w:val="20"/>
              </w:rPr>
              <w:t>Products</w:t>
            </w:r>
          </w:p>
        </w:tc>
        <w:tc>
          <w:tcPr>
            <w:tcW w:type="dxa" w:w="4680"/>
          </w:tcPr>
          <w:p>
            <w:pPr>
              <w:jc w:val="center"/>
            </w:pPr>
            <w:r>
              <w:rPr>
                <w:sz w:val="20"/>
              </w:rPr>
              <w:t>20 unique products</w:t>
            </w:r>
          </w:p>
        </w:tc>
      </w:tr>
      <w:tr>
        <w:tc>
          <w:tcPr>
            <w:tcW w:type="dxa" w:w="4680"/>
          </w:tcPr>
          <w:p>
            <w:pPr>
              <w:jc w:val="center"/>
            </w:pPr>
            <w:r>
              <w:rPr>
                <w:sz w:val="20"/>
              </w:rPr>
              <w:t>Categories</w:t>
            </w:r>
          </w:p>
        </w:tc>
        <w:tc>
          <w:tcPr>
            <w:tcW w:type="dxa" w:w="4680"/>
          </w:tcPr>
          <w:p>
            <w:pPr>
              <w:jc w:val="center"/>
            </w:pPr>
            <w:r>
              <w:rPr>
                <w:sz w:val="20"/>
              </w:rPr>
              <w:t>8 product categories</w:t>
            </w:r>
          </w:p>
        </w:tc>
      </w:tr>
      <w:tr>
        <w:tc>
          <w:tcPr>
            <w:tcW w:type="dxa" w:w="4680"/>
          </w:tcPr>
          <w:p>
            <w:pPr>
              <w:jc w:val="center"/>
            </w:pPr>
            <w:r>
              <w:rPr>
                <w:sz w:val="20"/>
              </w:rPr>
              <w:t>Missing Values</w:t>
            </w:r>
          </w:p>
        </w:tc>
        <w:tc>
          <w:tcPr>
            <w:tcW w:type="dxa" w:w="4680"/>
          </w:tcPr>
          <w:p>
            <w:pPr>
              <w:jc w:val="center"/>
            </w:pPr>
            <w:r>
              <w:rPr>
                <w:sz w:val="20"/>
              </w:rPr>
              <w:t>0 (No missing data)</w:t>
            </w:r>
          </w:p>
        </w:tc>
      </w:tr>
      <w:tr>
        <w:tc>
          <w:tcPr>
            <w:tcW w:type="dxa" w:w="4680"/>
          </w:tcPr>
          <w:p>
            <w:pPr>
              <w:jc w:val="center"/>
            </w:pPr>
            <w:r>
              <w:rPr>
                <w:sz w:val="20"/>
              </w:rPr>
              <w:t>Duplicate Rows</w:t>
            </w:r>
          </w:p>
        </w:tc>
        <w:tc>
          <w:tcPr>
            <w:tcW w:type="dxa" w:w="4680"/>
          </w:tcPr>
          <w:p>
            <w:pPr>
              <w:jc w:val="center"/>
            </w:pPr>
            <w:r>
              <w:rPr>
                <w:sz w:val="20"/>
              </w:rPr>
              <w:t>0</w:t>
            </w:r>
          </w:p>
        </w:tc>
      </w:tr>
    </w:tbl>
    <w:p/>
    <w:p>
      <w:pPr>
        <w:pStyle w:val="Heading2"/>
      </w:pPr>
      <w:r>
        <w:rPr>
          <w:color w:val="1A1A2E"/>
        </w:rPr>
        <w:t>Column Descriptions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A1A2E" w:val="clear"/>
          </w:tcPr>
          <w:p>
            <w:pPr>
              <w:jc w:val="center"/>
            </w:pPr>
            <w:r>
              <w:rPr>
                <w:b/>
                <w:color w:val="FFFFFF"/>
                <w:sz w:val="20"/>
              </w:rPr>
              <w:t>Column</w:t>
            </w:r>
          </w:p>
        </w:tc>
        <w:tc>
          <w:tcPr>
            <w:tcW w:type="dxa" w:w="3120"/>
            <w:shd w:fill="1A1A2E" w:val="clear"/>
          </w:tcPr>
          <w:p>
            <w:pPr>
              <w:jc w:val="center"/>
            </w:pPr>
            <w:r>
              <w:rPr>
                <w:b/>
                <w:color w:val="FFFFFF"/>
                <w:sz w:val="20"/>
              </w:rPr>
              <w:t>Data Type</w:t>
            </w:r>
          </w:p>
        </w:tc>
        <w:tc>
          <w:tcPr>
            <w:tcW w:type="dxa" w:w="3120"/>
            <w:shd w:fill="1A1A2E" w:val="clear"/>
          </w:tcPr>
          <w:p>
            <w:pPr>
              <w:jc w:val="center"/>
            </w:pPr>
            <w:r>
              <w:rPr>
                <w:b/>
                <w:color w:val="FFFFFF"/>
                <w:sz w:val="20"/>
              </w:rPr>
              <w:t>Description</w:t>
            </w:r>
          </w:p>
        </w:tc>
      </w:tr>
      <w:tr>
        <w:tc>
          <w:tcPr>
            <w:tcW w:type="dxa" w:w="3120"/>
          </w:tcPr>
          <w:p>
            <w:pPr>
              <w:jc w:val="center"/>
            </w:pPr>
            <w:r>
              <w:rPr>
                <w:sz w:val="20"/>
              </w:rPr>
              <w:t>Invoice ID</w:t>
            </w:r>
          </w:p>
        </w:tc>
        <w:tc>
          <w:tcPr>
            <w:tcW w:type="dxa" w:w="3120"/>
          </w:tcPr>
          <w:p>
            <w:pPr>
              <w:jc w:val="center"/>
            </w:pPr>
            <w:r>
              <w:rPr>
                <w:sz w:val="20"/>
              </w:rPr>
              <w:t>String</w:t>
            </w:r>
          </w:p>
        </w:tc>
        <w:tc>
          <w:tcPr>
            <w:tcW w:type="dxa" w:w="3120"/>
          </w:tcPr>
          <w:p>
            <w:pPr>
              <w:jc w:val="center"/>
            </w:pPr>
            <w:r>
              <w:rPr>
                <w:sz w:val="20"/>
              </w:rPr>
              <w:t>Unique transaction identifier</w:t>
            </w:r>
          </w:p>
        </w:tc>
      </w:tr>
      <w:tr>
        <w:tc>
          <w:tcPr>
            <w:tcW w:type="dxa" w:w="3120"/>
          </w:tcPr>
          <w:p>
            <w:pPr>
              <w:jc w:val="center"/>
            </w:pPr>
            <w:r>
              <w:rPr>
                <w:sz w:val="20"/>
              </w:rPr>
              <w:t>Date</w:t>
            </w:r>
          </w:p>
        </w:tc>
        <w:tc>
          <w:tcPr>
            <w:tcW w:type="dxa" w:w="3120"/>
          </w:tcPr>
          <w:p>
            <w:pPr>
              <w:jc w:val="center"/>
            </w:pPr>
            <w:r>
              <w:rPr>
                <w:sz w:val="20"/>
              </w:rPr>
              <w:t>DateTime</w:t>
            </w:r>
          </w:p>
        </w:tc>
        <w:tc>
          <w:tcPr>
            <w:tcW w:type="dxa" w:w="3120"/>
          </w:tcPr>
          <w:p>
            <w:pPr>
              <w:jc w:val="center"/>
            </w:pPr>
            <w:r>
              <w:rPr>
                <w:sz w:val="20"/>
              </w:rPr>
              <w:t>Transaction date</w:t>
            </w:r>
          </w:p>
        </w:tc>
      </w:tr>
      <w:tr>
        <w:tc>
          <w:tcPr>
            <w:tcW w:type="dxa" w:w="3120"/>
          </w:tcPr>
          <w:p>
            <w:pPr>
              <w:jc w:val="center"/>
            </w:pPr>
            <w:r>
              <w:rPr>
                <w:sz w:val="20"/>
              </w:rPr>
              <w:t>Branch</w:t>
            </w:r>
          </w:p>
        </w:tc>
        <w:tc>
          <w:tcPr>
            <w:tcW w:type="dxa" w:w="3120"/>
          </w:tcPr>
          <w:p>
            <w:pPr>
              <w:jc w:val="center"/>
            </w:pPr>
            <w:r>
              <w:rPr>
                <w:sz w:val="20"/>
              </w:rPr>
              <w:t>String</w:t>
            </w:r>
          </w:p>
        </w:tc>
        <w:tc>
          <w:tcPr>
            <w:tcW w:type="dxa" w:w="3120"/>
          </w:tcPr>
          <w:p>
            <w:pPr>
              <w:jc w:val="center"/>
            </w:pPr>
            <w:r>
              <w:rPr>
                <w:sz w:val="20"/>
              </w:rPr>
              <w:t>Branch code (A, B, C, D)</w:t>
            </w:r>
          </w:p>
        </w:tc>
      </w:tr>
      <w:tr>
        <w:tc>
          <w:tcPr>
            <w:tcW w:type="dxa" w:w="3120"/>
          </w:tcPr>
          <w:p>
            <w:pPr>
              <w:jc w:val="center"/>
            </w:pPr>
            <w:r>
              <w:rPr>
                <w:sz w:val="20"/>
              </w:rPr>
              <w:t>City</w:t>
            </w:r>
          </w:p>
        </w:tc>
        <w:tc>
          <w:tcPr>
            <w:tcW w:type="dxa" w:w="3120"/>
          </w:tcPr>
          <w:p>
            <w:pPr>
              <w:jc w:val="center"/>
            </w:pPr>
            <w:r>
              <w:rPr>
                <w:sz w:val="20"/>
              </w:rPr>
              <w:t>String</w:t>
            </w:r>
          </w:p>
        </w:tc>
        <w:tc>
          <w:tcPr>
            <w:tcW w:type="dxa" w:w="3120"/>
          </w:tcPr>
          <w:p>
            <w:pPr>
              <w:jc w:val="center"/>
            </w:pPr>
            <w:r>
              <w:rPr>
                <w:sz w:val="20"/>
              </w:rPr>
              <w:t>City name</w:t>
            </w:r>
          </w:p>
        </w:tc>
      </w:tr>
      <w:tr>
        <w:tc>
          <w:tcPr>
            <w:tcW w:type="dxa" w:w="3120"/>
          </w:tcPr>
          <w:p>
            <w:pPr>
              <w:jc w:val="center"/>
            </w:pPr>
            <w:r>
              <w:rPr>
                <w:sz w:val="20"/>
              </w:rPr>
              <w:t>Customer Type</w:t>
            </w:r>
          </w:p>
        </w:tc>
        <w:tc>
          <w:tcPr>
            <w:tcW w:type="dxa" w:w="3120"/>
          </w:tcPr>
          <w:p>
            <w:pPr>
              <w:jc w:val="center"/>
            </w:pPr>
            <w:r>
              <w:rPr>
                <w:sz w:val="20"/>
              </w:rPr>
              <w:t>String</w:t>
            </w:r>
          </w:p>
        </w:tc>
        <w:tc>
          <w:tcPr>
            <w:tcW w:type="dxa" w:w="3120"/>
          </w:tcPr>
          <w:p>
            <w:pPr>
              <w:jc w:val="center"/>
            </w:pPr>
            <w:r>
              <w:rPr>
                <w:sz w:val="20"/>
              </w:rPr>
              <w:t>Member or Normal</w:t>
            </w:r>
          </w:p>
        </w:tc>
      </w:tr>
      <w:tr>
        <w:tc>
          <w:tcPr>
            <w:tcW w:type="dxa" w:w="3120"/>
          </w:tcPr>
          <w:p>
            <w:pPr>
              <w:jc w:val="center"/>
            </w:pPr>
            <w:r>
              <w:rPr>
                <w:sz w:val="20"/>
              </w:rPr>
              <w:t>Gender</w:t>
            </w:r>
          </w:p>
        </w:tc>
        <w:tc>
          <w:tcPr>
            <w:tcW w:type="dxa" w:w="3120"/>
          </w:tcPr>
          <w:p>
            <w:pPr>
              <w:jc w:val="center"/>
            </w:pPr>
            <w:r>
              <w:rPr>
                <w:sz w:val="20"/>
              </w:rPr>
              <w:t>String</w:t>
            </w:r>
          </w:p>
        </w:tc>
        <w:tc>
          <w:tcPr>
            <w:tcW w:type="dxa" w:w="3120"/>
          </w:tcPr>
          <w:p>
            <w:pPr>
              <w:jc w:val="center"/>
            </w:pPr>
            <w:r>
              <w:rPr>
                <w:sz w:val="20"/>
              </w:rPr>
              <w:t>Male or Female</w:t>
            </w:r>
          </w:p>
        </w:tc>
      </w:tr>
      <w:tr>
        <w:tc>
          <w:tcPr>
            <w:tcW w:type="dxa" w:w="3120"/>
          </w:tcPr>
          <w:p>
            <w:pPr>
              <w:jc w:val="center"/>
            </w:pPr>
            <w:r>
              <w:rPr>
                <w:sz w:val="20"/>
              </w:rPr>
              <w:t>Product</w:t>
            </w:r>
          </w:p>
        </w:tc>
        <w:tc>
          <w:tcPr>
            <w:tcW w:type="dxa" w:w="3120"/>
          </w:tcPr>
          <w:p>
            <w:pPr>
              <w:jc w:val="center"/>
            </w:pPr>
            <w:r>
              <w:rPr>
                <w:sz w:val="20"/>
              </w:rPr>
              <w:t>String</w:t>
            </w:r>
          </w:p>
        </w:tc>
        <w:tc>
          <w:tcPr>
            <w:tcW w:type="dxa" w:w="3120"/>
          </w:tcPr>
          <w:p>
            <w:pPr>
              <w:jc w:val="center"/>
            </w:pPr>
            <w:r>
              <w:rPr>
                <w:sz w:val="20"/>
              </w:rPr>
              <w:t>Product name</w:t>
            </w:r>
          </w:p>
        </w:tc>
      </w:tr>
      <w:tr>
        <w:tc>
          <w:tcPr>
            <w:tcW w:type="dxa" w:w="3120"/>
          </w:tcPr>
          <w:p>
            <w:pPr>
              <w:jc w:val="center"/>
            </w:pPr>
            <w:r>
              <w:rPr>
                <w:sz w:val="20"/>
              </w:rPr>
              <w:t>Category</w:t>
            </w:r>
          </w:p>
        </w:tc>
        <w:tc>
          <w:tcPr>
            <w:tcW w:type="dxa" w:w="3120"/>
          </w:tcPr>
          <w:p>
            <w:pPr>
              <w:jc w:val="center"/>
            </w:pPr>
            <w:r>
              <w:rPr>
                <w:sz w:val="20"/>
              </w:rPr>
              <w:t>String</w:t>
            </w:r>
          </w:p>
        </w:tc>
        <w:tc>
          <w:tcPr>
            <w:tcW w:type="dxa" w:w="3120"/>
          </w:tcPr>
          <w:p>
            <w:pPr>
              <w:jc w:val="center"/>
            </w:pPr>
            <w:r>
              <w:rPr>
                <w:sz w:val="20"/>
              </w:rPr>
              <w:t>Product category</w:t>
            </w:r>
          </w:p>
        </w:tc>
      </w:tr>
      <w:tr>
        <w:tc>
          <w:tcPr>
            <w:tcW w:type="dxa" w:w="3120"/>
          </w:tcPr>
          <w:p>
            <w:pPr>
              <w:jc w:val="center"/>
            </w:pPr>
            <w:r>
              <w:rPr>
                <w:sz w:val="20"/>
              </w:rPr>
              <w:t>Quantity</w:t>
            </w:r>
          </w:p>
        </w:tc>
        <w:tc>
          <w:tcPr>
            <w:tcW w:type="dxa" w:w="3120"/>
          </w:tcPr>
          <w:p>
            <w:pPr>
              <w:jc w:val="center"/>
            </w:pPr>
            <w:r>
              <w:rPr>
                <w:sz w:val="20"/>
              </w:rPr>
              <w:t>Integer</w:t>
            </w:r>
          </w:p>
        </w:tc>
        <w:tc>
          <w:tcPr>
            <w:tcW w:type="dxa" w:w="3120"/>
          </w:tcPr>
          <w:p>
            <w:pPr>
              <w:jc w:val="center"/>
            </w:pPr>
            <w:r>
              <w:rPr>
                <w:sz w:val="20"/>
              </w:rPr>
              <w:t>Quantity purchased (1-10)</w:t>
            </w:r>
          </w:p>
        </w:tc>
      </w:tr>
      <w:tr>
        <w:tc>
          <w:tcPr>
            <w:tcW w:type="dxa" w:w="3120"/>
          </w:tcPr>
          <w:p>
            <w:pPr>
              <w:jc w:val="center"/>
            </w:pPr>
            <w:r>
              <w:rPr>
                <w:sz w:val="20"/>
              </w:rPr>
              <w:t>Unit Price</w:t>
            </w:r>
          </w:p>
        </w:tc>
        <w:tc>
          <w:tcPr>
            <w:tcW w:type="dxa" w:w="3120"/>
          </w:tcPr>
          <w:p>
            <w:pPr>
              <w:jc w:val="center"/>
            </w:pPr>
            <w:r>
              <w:rPr>
                <w:sz w:val="20"/>
              </w:rPr>
              <w:t>Float</w:t>
            </w:r>
          </w:p>
        </w:tc>
        <w:tc>
          <w:tcPr>
            <w:tcW w:type="dxa" w:w="3120"/>
          </w:tcPr>
          <w:p>
            <w:pPr>
              <w:jc w:val="center"/>
            </w:pPr>
            <w:r>
              <w:rPr>
                <w:sz w:val="20"/>
              </w:rPr>
              <w:t>Price per unit in INR</w:t>
            </w:r>
          </w:p>
        </w:tc>
      </w:tr>
      <w:tr>
        <w:tc>
          <w:tcPr>
            <w:tcW w:type="dxa" w:w="3120"/>
          </w:tcPr>
          <w:p>
            <w:pPr>
              <w:jc w:val="center"/>
            </w:pPr>
            <w:r>
              <w:rPr>
                <w:sz w:val="20"/>
              </w:rPr>
              <w:t>Payment</w:t>
            </w:r>
          </w:p>
        </w:tc>
        <w:tc>
          <w:tcPr>
            <w:tcW w:type="dxa" w:w="3120"/>
          </w:tcPr>
          <w:p>
            <w:pPr>
              <w:jc w:val="center"/>
            </w:pPr>
            <w:r>
              <w:rPr>
                <w:sz w:val="20"/>
              </w:rPr>
              <w:t>String</w:t>
            </w:r>
          </w:p>
        </w:tc>
        <w:tc>
          <w:tcPr>
            <w:tcW w:type="dxa" w:w="3120"/>
          </w:tcPr>
          <w:p>
            <w:pPr>
              <w:jc w:val="center"/>
            </w:pPr>
            <w:r>
              <w:rPr>
                <w:sz w:val="20"/>
              </w:rPr>
              <w:t>Payment method</w:t>
            </w:r>
          </w:p>
        </w:tc>
      </w:tr>
      <w:tr>
        <w:tc>
          <w:tcPr>
            <w:tcW w:type="dxa" w:w="3120"/>
          </w:tcPr>
          <w:p>
            <w:pPr>
              <w:jc w:val="center"/>
            </w:pPr>
            <w:r>
              <w:rPr>
                <w:sz w:val="20"/>
              </w:rPr>
              <w:t>Rating</w:t>
            </w:r>
          </w:p>
        </w:tc>
        <w:tc>
          <w:tcPr>
            <w:tcW w:type="dxa" w:w="3120"/>
          </w:tcPr>
          <w:p>
            <w:pPr>
              <w:jc w:val="center"/>
            </w:pPr>
            <w:r>
              <w:rPr>
                <w:sz w:val="20"/>
              </w:rPr>
              <w:t>Float</w:t>
            </w:r>
          </w:p>
        </w:tc>
        <w:tc>
          <w:tcPr>
            <w:tcW w:type="dxa" w:w="3120"/>
          </w:tcPr>
          <w:p>
            <w:pPr>
              <w:jc w:val="center"/>
            </w:pPr>
            <w:r>
              <w:rPr>
                <w:sz w:val="20"/>
              </w:rPr>
              <w:t>Customer rating (3.0-5.0)</w:t>
            </w:r>
          </w:p>
        </w:tc>
      </w:tr>
      <w:tr>
        <w:tc>
          <w:tcPr>
            <w:tcW w:type="dxa" w:w="3120"/>
          </w:tcPr>
          <w:p>
            <w:pPr>
              <w:jc w:val="center"/>
            </w:pPr>
            <w:r>
              <w:rPr>
                <w:sz w:val="20"/>
              </w:rPr>
              <w:t>Sales</w:t>
            </w:r>
          </w:p>
        </w:tc>
        <w:tc>
          <w:tcPr>
            <w:tcW w:type="dxa" w:w="3120"/>
          </w:tcPr>
          <w:p>
            <w:pPr>
              <w:jc w:val="center"/>
            </w:pPr>
            <w:r>
              <w:rPr>
                <w:sz w:val="20"/>
              </w:rPr>
              <w:t>Float</w:t>
            </w:r>
          </w:p>
        </w:tc>
        <w:tc>
          <w:tcPr>
            <w:tcW w:type="dxa" w:w="3120"/>
          </w:tcPr>
          <w:p>
            <w:pPr>
              <w:jc w:val="center"/>
            </w:pPr>
            <w:r>
              <w:rPr>
                <w:sz w:val="20"/>
              </w:rPr>
              <w:t>Total sale amount in INR</w:t>
            </w:r>
          </w:p>
        </w:tc>
      </w:tr>
    </w:tbl>
    <w:p>
      <w:r>
        <w:br w:type="page"/>
      </w:r>
    </w:p>
    <w:p>
      <w:pPr>
        <w:pStyle w:val="Heading1"/>
      </w:pPr>
      <w:r>
        <w:rPr>
          <w:color w:val="1A1A2E"/>
        </w:rPr>
        <w:t>3. Methodology / Steps Used for Analysis</w:t>
      </w:r>
    </w:p>
    <w:p>
      <w:pPr>
        <w:pStyle w:val="Heading2"/>
      </w:pPr>
      <w:r>
        <w:rPr>
          <w:color w:val="1A1A2E"/>
        </w:rPr>
        <w:t>Step 1: Data Collection</w:t>
      </w:r>
    </w:p>
    <w:p>
      <w:r>
        <w:t>Loaded the dataset from the Excel file (SUPER MARKET DATA.xlsx) using Python pandas library.</w:t>
      </w:r>
    </w:p>
    <w:p>
      <w:pPr>
        <w:pStyle w:val="Heading2"/>
      </w:pPr>
      <w:r>
        <w:rPr>
          <w:color w:val="1A1A2E"/>
        </w:rPr>
        <w:t>Step 2: Data Cleaning</w:t>
      </w:r>
    </w:p>
    <w:p>
      <w:r>
        <w:t>Checked the data for missing values, duplicate rows, and incorrect data types. Verified that Sales = Quantity x Unit Price for all rows.</w:t>
      </w:r>
    </w:p>
    <w:p>
      <w:pPr>
        <w:pStyle w:val="Heading2"/>
      </w:pPr>
      <w:r>
        <w:rPr>
          <w:color w:val="1A1A2E"/>
        </w:rPr>
        <w:t>Step 3: Feature Engineering</w:t>
      </w:r>
    </w:p>
    <w:p>
      <w:r>
        <w:t>Added derived columns — Month, Month_Name, and Day_of_Week — for time-based analysis.</w:t>
      </w:r>
    </w:p>
    <w:p>
      <w:pPr>
        <w:pStyle w:val="Heading2"/>
      </w:pPr>
      <w:r>
        <w:rPr>
          <w:color w:val="1A1A2E"/>
        </w:rPr>
        <w:t>Step 4: Grouping &amp; Summarization</w:t>
      </w:r>
    </w:p>
    <w:p>
      <w:r>
        <w:t>Grouped and summarized data using totals, counts, and averages across multiple dimensions: products, branches, categories, payment methods, customer types, and gender.</w:t>
      </w:r>
    </w:p>
    <w:p>
      <w:pPr>
        <w:pStyle w:val="Heading2"/>
      </w:pPr>
      <w:r>
        <w:rPr>
          <w:color w:val="1A1A2E"/>
        </w:rPr>
        <w:t>Step 5: Visualization</w:t>
      </w:r>
    </w:p>
    <w:p>
      <w:r>
        <w:t>Created 12 professional charts using Matplotlib and Seaborn to compare and visualize the results clearly.</w:t>
      </w:r>
    </w:p>
    <w:p>
      <w:pPr>
        <w:pStyle w:val="Heading2"/>
      </w:pPr>
      <w:r>
        <w:rPr>
          <w:color w:val="1A1A2E"/>
        </w:rPr>
        <w:t>Step 6: Insights &amp; Recommendations</w:t>
      </w:r>
    </w:p>
    <w:p>
      <w:r>
        <w:t>Used the analysis results to derive actionable business recommendations for the supermarket.</w:t>
      </w:r>
    </w:p>
    <w:p>
      <w:r>
        <w:br w:type="page"/>
      </w:r>
    </w:p>
    <w:p>
      <w:pPr>
        <w:pStyle w:val="Heading1"/>
      </w:pPr>
      <w:r>
        <w:rPr>
          <w:color w:val="1A1A2E"/>
        </w:rPr>
        <w:t>4. Analysis Results</w:t>
      </w:r>
    </w:p>
    <w:p>
      <w:pPr>
        <w:pStyle w:val="Heading2"/>
      </w:pPr>
      <w:r>
        <w:rPr>
          <w:color w:val="1A1A2E"/>
        </w:rPr>
        <w:t>4.1 Product Analysis</w:t>
      </w:r>
    </w:p>
    <w:p>
      <w:r>
        <w:t>The product analysis reveals which products generate the most and least revenue for the supermarket.</w:t>
      </w:r>
    </w:p>
    <w:p>
      <w:pPr>
        <w:pStyle w:val="Heading3"/>
      </w:pPr>
      <w:r>
        <w:rPr>
          <w:color w:val="1A1A2E"/>
        </w:rPr>
        <w:t>Top 5 Products by Total Sales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A1A2E" w:val="clear"/>
          </w:tcPr>
          <w:p>
            <w:pPr>
              <w:jc w:val="center"/>
            </w:pPr>
            <w:r>
              <w:rPr>
                <w:b/>
                <w:color w:val="FFFFFF"/>
                <w:sz w:val="20"/>
              </w:rPr>
              <w:t>Rank</w:t>
            </w:r>
          </w:p>
        </w:tc>
        <w:tc>
          <w:tcPr>
            <w:tcW w:type="dxa" w:w="3120"/>
            <w:shd w:fill="1A1A2E" w:val="clear"/>
          </w:tcPr>
          <w:p>
            <w:pPr>
              <w:jc w:val="center"/>
            </w:pPr>
            <w:r>
              <w:rPr>
                <w:b/>
                <w:color w:val="FFFFFF"/>
                <w:sz w:val="20"/>
              </w:rPr>
              <w:t>Product</w:t>
            </w:r>
          </w:p>
        </w:tc>
        <w:tc>
          <w:tcPr>
            <w:tcW w:type="dxa" w:w="3120"/>
            <w:shd w:fill="1A1A2E" w:val="clear"/>
          </w:tcPr>
          <w:p>
            <w:pPr>
              <w:jc w:val="center"/>
            </w:pPr>
            <w:r>
              <w:rPr>
                <w:b/>
                <w:color w:val="FFFFFF"/>
                <w:sz w:val="20"/>
              </w:rPr>
              <w:t>Total Sales (INR)</w:t>
            </w:r>
          </w:p>
        </w:tc>
      </w:tr>
      <w:tr>
        <w:tc>
          <w:tcPr>
            <w:tcW w:type="dxa" w:w="3120"/>
          </w:tcPr>
          <w:p>
            <w:pPr>
              <w:jc w:val="center"/>
            </w:pPr>
            <w:r>
              <w:rPr>
                <w:sz w:val="20"/>
              </w:rPr>
              <w:t>1</w:t>
            </w:r>
          </w:p>
        </w:tc>
        <w:tc>
          <w:tcPr>
            <w:tcW w:type="dxa" w:w="3120"/>
          </w:tcPr>
          <w:p>
            <w:pPr>
              <w:jc w:val="center"/>
            </w:pPr>
            <w:r>
              <w:rPr>
                <w:sz w:val="20"/>
              </w:rPr>
              <w:t>Cheese</w:t>
            </w:r>
          </w:p>
        </w:tc>
        <w:tc>
          <w:tcPr>
            <w:tcW w:type="dxa" w:w="3120"/>
          </w:tcPr>
          <w:p>
            <w:pPr>
              <w:jc w:val="center"/>
            </w:pPr>
            <w:r>
              <w:rPr>
                <w:sz w:val="20"/>
              </w:rPr>
              <w:t>27,906.30</w:t>
            </w:r>
          </w:p>
        </w:tc>
      </w:tr>
      <w:tr>
        <w:tc>
          <w:tcPr>
            <w:tcW w:type="dxa" w:w="3120"/>
          </w:tcPr>
          <w:p>
            <w:pPr>
              <w:jc w:val="center"/>
            </w:pPr>
            <w:r>
              <w:rPr>
                <w:sz w:val="20"/>
              </w:rPr>
              <w:t>2</w:t>
            </w:r>
          </w:p>
        </w:tc>
        <w:tc>
          <w:tcPr>
            <w:tcW w:type="dxa" w:w="3120"/>
          </w:tcPr>
          <w:p>
            <w:pPr>
              <w:jc w:val="center"/>
            </w:pPr>
            <w:r>
              <w:rPr>
                <w:sz w:val="20"/>
              </w:rPr>
              <w:t>Coffee</w:t>
            </w:r>
          </w:p>
        </w:tc>
        <w:tc>
          <w:tcPr>
            <w:tcW w:type="dxa" w:w="3120"/>
          </w:tcPr>
          <w:p>
            <w:pPr>
              <w:jc w:val="center"/>
            </w:pPr>
            <w:r>
              <w:rPr>
                <w:sz w:val="20"/>
              </w:rPr>
              <w:t>27,694.87</w:t>
            </w:r>
          </w:p>
        </w:tc>
      </w:tr>
      <w:tr>
        <w:tc>
          <w:tcPr>
            <w:tcW w:type="dxa" w:w="3120"/>
          </w:tcPr>
          <w:p>
            <w:pPr>
              <w:jc w:val="center"/>
            </w:pPr>
            <w:r>
              <w:rPr>
                <w:sz w:val="20"/>
              </w:rPr>
              <w:t>3</w:t>
            </w:r>
          </w:p>
        </w:tc>
        <w:tc>
          <w:tcPr>
            <w:tcW w:type="dxa" w:w="3120"/>
          </w:tcPr>
          <w:p>
            <w:pPr>
              <w:jc w:val="center"/>
            </w:pPr>
            <w:r>
              <w:rPr>
                <w:sz w:val="20"/>
              </w:rPr>
              <w:t>Shampoo</w:t>
            </w:r>
          </w:p>
        </w:tc>
        <w:tc>
          <w:tcPr>
            <w:tcW w:type="dxa" w:w="3120"/>
          </w:tcPr>
          <w:p>
            <w:pPr>
              <w:jc w:val="center"/>
            </w:pPr>
            <w:r>
              <w:rPr>
                <w:sz w:val="20"/>
              </w:rPr>
              <w:t>27,497.48</w:t>
            </w:r>
          </w:p>
        </w:tc>
      </w:tr>
      <w:tr>
        <w:tc>
          <w:tcPr>
            <w:tcW w:type="dxa" w:w="3120"/>
          </w:tcPr>
          <w:p>
            <w:pPr>
              <w:jc w:val="center"/>
            </w:pPr>
            <w:r>
              <w:rPr>
                <w:sz w:val="20"/>
              </w:rPr>
              <w:t>4</w:t>
            </w:r>
          </w:p>
        </w:tc>
        <w:tc>
          <w:tcPr>
            <w:tcW w:type="dxa" w:w="3120"/>
          </w:tcPr>
          <w:p>
            <w:pPr>
              <w:jc w:val="center"/>
            </w:pPr>
            <w:r>
              <w:rPr>
                <w:sz w:val="20"/>
              </w:rPr>
              <w:t>Cooking Oil</w:t>
            </w:r>
          </w:p>
        </w:tc>
        <w:tc>
          <w:tcPr>
            <w:tcW w:type="dxa" w:w="3120"/>
          </w:tcPr>
          <w:p>
            <w:pPr>
              <w:jc w:val="center"/>
            </w:pPr>
            <w:r>
              <w:rPr>
                <w:sz w:val="20"/>
              </w:rPr>
              <w:t>21,525.06</w:t>
            </w:r>
          </w:p>
        </w:tc>
      </w:tr>
      <w:tr>
        <w:tc>
          <w:tcPr>
            <w:tcW w:type="dxa" w:w="3120"/>
          </w:tcPr>
          <w:p>
            <w:pPr>
              <w:jc w:val="center"/>
            </w:pPr>
            <w:r>
              <w:rPr>
                <w:sz w:val="20"/>
              </w:rPr>
              <w:t>5</w:t>
            </w:r>
          </w:p>
        </w:tc>
        <w:tc>
          <w:tcPr>
            <w:tcW w:type="dxa" w:w="3120"/>
          </w:tcPr>
          <w:p>
            <w:pPr>
              <w:jc w:val="center"/>
            </w:pPr>
            <w:r>
              <w:rPr>
                <w:sz w:val="20"/>
              </w:rPr>
              <w:t>Tea</w:t>
            </w:r>
          </w:p>
        </w:tc>
        <w:tc>
          <w:tcPr>
            <w:tcW w:type="dxa" w:w="3120"/>
          </w:tcPr>
          <w:p>
            <w:pPr>
              <w:jc w:val="center"/>
            </w:pPr>
            <w:r>
              <w:rPr>
                <w:sz w:val="20"/>
              </w:rPr>
              <w:t>17,681.59</w:t>
            </w:r>
          </w:p>
        </w:tc>
      </w:tr>
    </w:tbl>
    <w:p/>
    <w:p>
      <w:pPr>
        <w:pStyle w:val="Heading3"/>
      </w:pPr>
      <w:r>
        <w:rPr>
          <w:color w:val="1A1A2E"/>
        </w:rPr>
        <w:t>Bottom 3 Products by Total Sales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A1A2E" w:val="clear"/>
          </w:tcPr>
          <w:p>
            <w:pPr>
              <w:jc w:val="center"/>
            </w:pPr>
            <w:r>
              <w:rPr>
                <w:b/>
                <w:color w:val="FFFFFF"/>
                <w:sz w:val="20"/>
              </w:rPr>
              <w:t>Rank</w:t>
            </w:r>
          </w:p>
        </w:tc>
        <w:tc>
          <w:tcPr>
            <w:tcW w:type="dxa" w:w="3120"/>
            <w:shd w:fill="1A1A2E" w:val="clear"/>
          </w:tcPr>
          <w:p>
            <w:pPr>
              <w:jc w:val="center"/>
            </w:pPr>
            <w:r>
              <w:rPr>
                <w:b/>
                <w:color w:val="FFFFFF"/>
                <w:sz w:val="20"/>
              </w:rPr>
              <w:t>Product</w:t>
            </w:r>
          </w:p>
        </w:tc>
        <w:tc>
          <w:tcPr>
            <w:tcW w:type="dxa" w:w="3120"/>
            <w:shd w:fill="1A1A2E" w:val="clear"/>
          </w:tcPr>
          <w:p>
            <w:pPr>
              <w:jc w:val="center"/>
            </w:pPr>
            <w:r>
              <w:rPr>
                <w:b/>
                <w:color w:val="FFFFFF"/>
                <w:sz w:val="20"/>
              </w:rPr>
              <w:t>Total Sales (INR)</w:t>
            </w:r>
          </w:p>
        </w:tc>
      </w:tr>
      <w:tr>
        <w:tc>
          <w:tcPr>
            <w:tcW w:type="dxa" w:w="3120"/>
          </w:tcPr>
          <w:p>
            <w:pPr>
              <w:jc w:val="center"/>
            </w:pPr>
            <w:r>
              <w:rPr>
                <w:sz w:val="20"/>
              </w:rPr>
              <w:t>18</w:t>
            </w:r>
          </w:p>
        </w:tc>
        <w:tc>
          <w:tcPr>
            <w:tcW w:type="dxa" w:w="3120"/>
          </w:tcPr>
          <w:p>
            <w:pPr>
              <w:jc w:val="center"/>
            </w:pPr>
            <w:r>
              <w:rPr>
                <w:sz w:val="20"/>
              </w:rPr>
              <w:t>Potato</w:t>
            </w:r>
          </w:p>
        </w:tc>
        <w:tc>
          <w:tcPr>
            <w:tcW w:type="dxa" w:w="3120"/>
          </w:tcPr>
          <w:p>
            <w:pPr>
              <w:jc w:val="center"/>
            </w:pPr>
            <w:r>
              <w:rPr>
                <w:sz w:val="20"/>
              </w:rPr>
              <w:t>5,233.54</w:t>
            </w:r>
          </w:p>
        </w:tc>
      </w:tr>
      <w:tr>
        <w:tc>
          <w:tcPr>
            <w:tcW w:type="dxa" w:w="3120"/>
          </w:tcPr>
          <w:p>
            <w:pPr>
              <w:jc w:val="center"/>
            </w:pPr>
            <w:r>
              <w:rPr>
                <w:sz w:val="20"/>
              </w:rPr>
              <w:t>19</w:t>
            </w:r>
          </w:p>
        </w:tc>
        <w:tc>
          <w:tcPr>
            <w:tcW w:type="dxa" w:w="3120"/>
          </w:tcPr>
          <w:p>
            <w:pPr>
              <w:jc w:val="center"/>
            </w:pPr>
            <w:r>
              <w:rPr>
                <w:sz w:val="20"/>
              </w:rPr>
              <w:t>Bread</w:t>
            </w:r>
          </w:p>
        </w:tc>
        <w:tc>
          <w:tcPr>
            <w:tcW w:type="dxa" w:w="3120"/>
          </w:tcPr>
          <w:p>
            <w:pPr>
              <w:jc w:val="center"/>
            </w:pPr>
            <w:r>
              <w:rPr>
                <w:sz w:val="20"/>
              </w:rPr>
              <w:t>4,776.85</w:t>
            </w:r>
          </w:p>
        </w:tc>
      </w:tr>
      <w:tr>
        <w:tc>
          <w:tcPr>
            <w:tcW w:type="dxa" w:w="3120"/>
          </w:tcPr>
          <w:p>
            <w:pPr>
              <w:jc w:val="center"/>
            </w:pPr>
            <w:r>
              <w:rPr>
                <w:sz w:val="20"/>
              </w:rPr>
              <w:t>20</w:t>
            </w:r>
          </w:p>
        </w:tc>
        <w:tc>
          <w:tcPr>
            <w:tcW w:type="dxa" w:w="3120"/>
          </w:tcPr>
          <w:p>
            <w:pPr>
              <w:jc w:val="center"/>
            </w:pPr>
            <w:r>
              <w:rPr>
                <w:sz w:val="20"/>
              </w:rPr>
              <w:t>Biscuits</w:t>
            </w:r>
          </w:p>
        </w:tc>
        <w:tc>
          <w:tcPr>
            <w:tcW w:type="dxa" w:w="3120"/>
          </w:tcPr>
          <w:p>
            <w:pPr>
              <w:jc w:val="center"/>
            </w:pPr>
            <w:r>
              <w:rPr>
                <w:sz w:val="20"/>
              </w:rPr>
              <w:t>3,908.87</w:t>
            </w:r>
          </w:p>
        </w:tc>
      </w:tr>
    </w:tbl>
    <w:p/>
    <w:p>
      <w:pPr>
        <w:jc w:val="center"/>
      </w:pPr>
      <w:r>
        <w:drawing>
          <wp:inline xmlns:a="http://schemas.openxmlformats.org/drawingml/2006/main" xmlns:pic="http://schemas.openxmlformats.org/drawingml/2006/picture">
            <wp:extent cx="5303520" cy="2926768"/>
            <wp:docPr id="1" name="Picture 1"/>
            <wp:cNvGraphicFramePr>
              <a:graphicFrameLocks noChangeAspect="1"/>
            </wp:cNvGraphicFramePr>
            <a:graphic>
              <a:graphicData uri="http://schemas.openxmlformats.org/drawingml/2006/picture">
                <pic:pic>
                  <pic:nvPicPr>
                    <pic:cNvPr id="0" name="01_product_sales.png"/>
                    <pic:cNvPicPr/>
                  </pic:nvPicPr>
                  <pic:blipFill>
                    <a:blip r:embed="rId9"/>
                    <a:stretch>
                      <a:fillRect/>
                    </a:stretch>
                  </pic:blipFill>
                  <pic:spPr>
                    <a:xfrm>
                      <a:off x="0" y="0"/>
                      <a:ext cx="5303520" cy="2926768"/>
                    </a:xfrm>
                    <a:prstGeom prst="rect"/>
                  </pic:spPr>
                </pic:pic>
              </a:graphicData>
            </a:graphic>
          </wp:inline>
        </w:drawing>
      </w:r>
    </w:p>
    <w:p>
      <w:pPr>
        <w:jc w:val="center"/>
      </w:pPr>
      <w:r>
        <w:rPr>
          <w:i/>
          <w:sz w:val="18"/>
        </w:rPr>
        <w:t>Figure 1: Total Sales by Product</w:t>
      </w:r>
    </w:p>
    <w:p>
      <w:r>
        <w:br w:type="page"/>
      </w:r>
    </w:p>
    <w:p>
      <w:pPr>
        <w:pStyle w:val="Heading2"/>
      </w:pPr>
      <w:r>
        <w:rPr>
          <w:color w:val="1A1A2E"/>
        </w:rPr>
        <w:t>4.2 Branch &amp; City Analysis</w:t>
      </w:r>
    </w:p>
    <w:p>
      <w:r>
        <w:t>Branch C located in Mumbai is the top-performing branch with the highest total sales and transaction count.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1A2E" w:val="clear"/>
          </w:tcPr>
          <w:p>
            <w:pPr>
              <w:jc w:val="center"/>
            </w:pPr>
            <w:r>
              <w:rPr>
                <w:b/>
                <w:color w:val="FFFFFF"/>
                <w:sz w:val="20"/>
              </w:rPr>
              <w:t>Branch</w:t>
            </w:r>
          </w:p>
        </w:tc>
        <w:tc>
          <w:tcPr>
            <w:tcW w:type="dxa" w:w="1872"/>
            <w:shd w:fill="1A1A2E" w:val="clear"/>
          </w:tcPr>
          <w:p>
            <w:pPr>
              <w:jc w:val="center"/>
            </w:pPr>
            <w:r>
              <w:rPr>
                <w:b/>
                <w:color w:val="FFFFFF"/>
                <w:sz w:val="20"/>
              </w:rPr>
              <w:t>City</w:t>
            </w:r>
          </w:p>
        </w:tc>
        <w:tc>
          <w:tcPr>
            <w:tcW w:type="dxa" w:w="1872"/>
            <w:shd w:fill="1A1A2E" w:val="clear"/>
          </w:tcPr>
          <w:p>
            <w:pPr>
              <w:jc w:val="center"/>
            </w:pPr>
            <w:r>
              <w:rPr>
                <w:b/>
                <w:color w:val="FFFFFF"/>
                <w:sz w:val="20"/>
              </w:rPr>
              <w:t>Total Sales (INR)</w:t>
            </w:r>
          </w:p>
        </w:tc>
        <w:tc>
          <w:tcPr>
            <w:tcW w:type="dxa" w:w="1872"/>
            <w:shd w:fill="1A1A2E" w:val="clear"/>
          </w:tcPr>
          <w:p>
            <w:pPr>
              <w:jc w:val="center"/>
            </w:pPr>
            <w:r>
              <w:rPr>
                <w:b/>
                <w:color w:val="FFFFFF"/>
                <w:sz w:val="20"/>
              </w:rPr>
              <w:t>Avg Transaction (INR)</w:t>
            </w:r>
          </w:p>
        </w:tc>
        <w:tc>
          <w:tcPr>
            <w:tcW w:type="dxa" w:w="1872"/>
            <w:shd w:fill="1A1A2E" w:val="clear"/>
          </w:tcPr>
          <w:p>
            <w:pPr>
              <w:jc w:val="center"/>
            </w:pPr>
            <w:r>
              <w:rPr>
                <w:b/>
                <w:color w:val="FFFFFF"/>
                <w:sz w:val="20"/>
              </w:rPr>
              <w:t>Transactions</w:t>
            </w:r>
          </w:p>
        </w:tc>
      </w:tr>
      <w:tr>
        <w:tc>
          <w:tcPr>
            <w:tcW w:type="dxa" w:w="1872"/>
          </w:tcPr>
          <w:p>
            <w:pPr>
              <w:jc w:val="center"/>
            </w:pPr>
            <w:r>
              <w:rPr>
                <w:sz w:val="20"/>
              </w:rPr>
              <w:t>C</w:t>
            </w:r>
          </w:p>
        </w:tc>
        <w:tc>
          <w:tcPr>
            <w:tcW w:type="dxa" w:w="1872"/>
          </w:tcPr>
          <w:p>
            <w:pPr>
              <w:jc w:val="center"/>
            </w:pPr>
            <w:r>
              <w:rPr>
                <w:sz w:val="20"/>
              </w:rPr>
              <w:t>Mumbai</w:t>
            </w:r>
          </w:p>
        </w:tc>
        <w:tc>
          <w:tcPr>
            <w:tcW w:type="dxa" w:w="1872"/>
          </w:tcPr>
          <w:p>
            <w:pPr>
              <w:jc w:val="center"/>
            </w:pPr>
            <w:r>
              <w:rPr>
                <w:sz w:val="20"/>
              </w:rPr>
              <w:t>72,469.45</w:t>
            </w:r>
          </w:p>
        </w:tc>
        <w:tc>
          <w:tcPr>
            <w:tcW w:type="dxa" w:w="1872"/>
          </w:tcPr>
          <w:p>
            <w:pPr>
              <w:jc w:val="center"/>
            </w:pPr>
            <w:r>
              <w:rPr>
                <w:sz w:val="20"/>
              </w:rPr>
              <w:t>506.78</w:t>
            </w:r>
          </w:p>
        </w:tc>
        <w:tc>
          <w:tcPr>
            <w:tcW w:type="dxa" w:w="1872"/>
          </w:tcPr>
          <w:p>
            <w:pPr>
              <w:jc w:val="center"/>
            </w:pPr>
            <w:r>
              <w:rPr>
                <w:sz w:val="20"/>
              </w:rPr>
              <w:t>143</w:t>
            </w:r>
          </w:p>
        </w:tc>
      </w:tr>
      <w:tr>
        <w:tc>
          <w:tcPr>
            <w:tcW w:type="dxa" w:w="1872"/>
          </w:tcPr>
          <w:p>
            <w:pPr>
              <w:jc w:val="center"/>
            </w:pPr>
            <w:r>
              <w:rPr>
                <w:sz w:val="20"/>
              </w:rPr>
              <w:t>B</w:t>
            </w:r>
          </w:p>
        </w:tc>
        <w:tc>
          <w:tcPr>
            <w:tcW w:type="dxa" w:w="1872"/>
          </w:tcPr>
          <w:p>
            <w:pPr>
              <w:jc w:val="center"/>
            </w:pPr>
            <w:r>
              <w:rPr>
                <w:sz w:val="20"/>
              </w:rPr>
              <w:t>Delhi</w:t>
            </w:r>
          </w:p>
        </w:tc>
        <w:tc>
          <w:tcPr>
            <w:tcW w:type="dxa" w:w="1872"/>
          </w:tcPr>
          <w:p>
            <w:pPr>
              <w:jc w:val="center"/>
            </w:pPr>
            <w:r>
              <w:rPr>
                <w:sz w:val="20"/>
              </w:rPr>
              <w:t>64,116.26</w:t>
            </w:r>
          </w:p>
        </w:tc>
        <w:tc>
          <w:tcPr>
            <w:tcW w:type="dxa" w:w="1872"/>
          </w:tcPr>
          <w:p>
            <w:pPr>
              <w:jc w:val="center"/>
            </w:pPr>
            <w:r>
              <w:rPr>
                <w:sz w:val="20"/>
              </w:rPr>
              <w:t>482.08</w:t>
            </w:r>
          </w:p>
        </w:tc>
        <w:tc>
          <w:tcPr>
            <w:tcW w:type="dxa" w:w="1872"/>
          </w:tcPr>
          <w:p>
            <w:pPr>
              <w:jc w:val="center"/>
            </w:pPr>
            <w:r>
              <w:rPr>
                <w:sz w:val="20"/>
              </w:rPr>
              <w:t>133</w:t>
            </w:r>
          </w:p>
        </w:tc>
      </w:tr>
      <w:tr>
        <w:tc>
          <w:tcPr>
            <w:tcW w:type="dxa" w:w="1872"/>
          </w:tcPr>
          <w:p>
            <w:pPr>
              <w:jc w:val="center"/>
            </w:pPr>
            <w:r>
              <w:rPr>
                <w:sz w:val="20"/>
              </w:rPr>
              <w:t>D</w:t>
            </w:r>
          </w:p>
        </w:tc>
        <w:tc>
          <w:tcPr>
            <w:tcW w:type="dxa" w:w="1872"/>
          </w:tcPr>
          <w:p>
            <w:pPr>
              <w:jc w:val="center"/>
            </w:pPr>
            <w:r>
              <w:rPr>
                <w:sz w:val="20"/>
              </w:rPr>
              <w:t>Bengaluru</w:t>
            </w:r>
          </w:p>
        </w:tc>
        <w:tc>
          <w:tcPr>
            <w:tcW w:type="dxa" w:w="1872"/>
          </w:tcPr>
          <w:p>
            <w:pPr>
              <w:jc w:val="center"/>
            </w:pPr>
            <w:r>
              <w:rPr>
                <w:sz w:val="20"/>
              </w:rPr>
              <w:t>55,468.29</w:t>
            </w:r>
          </w:p>
        </w:tc>
        <w:tc>
          <w:tcPr>
            <w:tcW w:type="dxa" w:w="1872"/>
          </w:tcPr>
          <w:p>
            <w:pPr>
              <w:jc w:val="center"/>
            </w:pPr>
            <w:r>
              <w:rPr>
                <w:sz w:val="20"/>
              </w:rPr>
              <w:t>466.12</w:t>
            </w:r>
          </w:p>
        </w:tc>
        <w:tc>
          <w:tcPr>
            <w:tcW w:type="dxa" w:w="1872"/>
          </w:tcPr>
          <w:p>
            <w:pPr>
              <w:jc w:val="center"/>
            </w:pPr>
            <w:r>
              <w:rPr>
                <w:sz w:val="20"/>
              </w:rPr>
              <w:t>119</w:t>
            </w:r>
          </w:p>
        </w:tc>
      </w:tr>
      <w:tr>
        <w:tc>
          <w:tcPr>
            <w:tcW w:type="dxa" w:w="1872"/>
          </w:tcPr>
          <w:p>
            <w:pPr>
              <w:jc w:val="center"/>
            </w:pPr>
            <w:r>
              <w:rPr>
                <w:sz w:val="20"/>
              </w:rPr>
              <w:t>A</w:t>
            </w:r>
          </w:p>
        </w:tc>
        <w:tc>
          <w:tcPr>
            <w:tcW w:type="dxa" w:w="1872"/>
          </w:tcPr>
          <w:p>
            <w:pPr>
              <w:jc w:val="center"/>
            </w:pPr>
            <w:r>
              <w:rPr>
                <w:sz w:val="20"/>
              </w:rPr>
              <w:t>Jaipur</w:t>
            </w:r>
          </w:p>
        </w:tc>
        <w:tc>
          <w:tcPr>
            <w:tcW w:type="dxa" w:w="1872"/>
          </w:tcPr>
          <w:p>
            <w:pPr>
              <w:jc w:val="center"/>
            </w:pPr>
            <w:r>
              <w:rPr>
                <w:sz w:val="20"/>
              </w:rPr>
              <w:t>52,357.08</w:t>
            </w:r>
          </w:p>
        </w:tc>
        <w:tc>
          <w:tcPr>
            <w:tcW w:type="dxa" w:w="1872"/>
          </w:tcPr>
          <w:p>
            <w:pPr>
              <w:jc w:val="center"/>
            </w:pPr>
            <w:r>
              <w:rPr>
                <w:sz w:val="20"/>
              </w:rPr>
              <w:t>498.64</w:t>
            </w:r>
          </w:p>
        </w:tc>
        <w:tc>
          <w:tcPr>
            <w:tcW w:type="dxa" w:w="1872"/>
          </w:tcPr>
          <w:p>
            <w:pPr>
              <w:jc w:val="center"/>
            </w:pPr>
            <w:r>
              <w:rPr>
                <w:sz w:val="20"/>
              </w:rPr>
              <w:t>105</w:t>
            </w:r>
          </w:p>
        </w:tc>
      </w:tr>
    </w:tbl>
    <w:p/>
    <w:p>
      <w:pPr>
        <w:jc w:val="center"/>
      </w:pPr>
      <w:r>
        <w:drawing>
          <wp:inline xmlns:a="http://schemas.openxmlformats.org/drawingml/2006/main" xmlns:pic="http://schemas.openxmlformats.org/drawingml/2006/picture">
            <wp:extent cx="5303520" cy="1902686"/>
            <wp:docPr id="2" name="Picture 2"/>
            <wp:cNvGraphicFramePr>
              <a:graphicFrameLocks noChangeAspect="1"/>
            </wp:cNvGraphicFramePr>
            <a:graphic>
              <a:graphicData uri="http://schemas.openxmlformats.org/drawingml/2006/picture">
                <pic:pic>
                  <pic:nvPicPr>
                    <pic:cNvPr id="0" name="03_branch_comparison.png"/>
                    <pic:cNvPicPr/>
                  </pic:nvPicPr>
                  <pic:blipFill>
                    <a:blip r:embed="rId10"/>
                    <a:stretch>
                      <a:fillRect/>
                    </a:stretch>
                  </pic:blipFill>
                  <pic:spPr>
                    <a:xfrm>
                      <a:off x="0" y="0"/>
                      <a:ext cx="5303520" cy="1902686"/>
                    </a:xfrm>
                    <a:prstGeom prst="rect"/>
                  </pic:spPr>
                </pic:pic>
              </a:graphicData>
            </a:graphic>
          </wp:inline>
        </w:drawing>
      </w:r>
    </w:p>
    <w:p>
      <w:pPr>
        <w:jc w:val="center"/>
      </w:pPr>
      <w:r>
        <w:rPr>
          <w:i/>
          <w:sz w:val="18"/>
        </w:rPr>
        <w:t>Figure 2: Branch Performance Comparison</w:t>
      </w:r>
    </w:p>
    <w:p>
      <w:r>
        <w:br w:type="page"/>
      </w:r>
    </w:p>
    <w:p>
      <w:pPr>
        <w:pStyle w:val="Heading2"/>
      </w:pPr>
      <w:r>
        <w:rPr>
          <w:color w:val="1A1A2E"/>
        </w:rPr>
        <w:t>4.3 Category Analysis</w:t>
      </w:r>
    </w:p>
    <w:p>
      <w:r>
        <w:t>Beverages is the highest-selling category, followed by Personal Care and Dairy.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1A2E" w:val="clear"/>
          </w:tcPr>
          <w:p>
            <w:pPr>
              <w:jc w:val="center"/>
            </w:pPr>
            <w:r>
              <w:rPr>
                <w:b/>
                <w:color w:val="FFFFFF"/>
                <w:sz w:val="20"/>
              </w:rPr>
              <w:t>Category</w:t>
            </w:r>
          </w:p>
        </w:tc>
        <w:tc>
          <w:tcPr>
            <w:tcW w:type="dxa" w:w="2340"/>
            <w:shd w:fill="1A1A2E" w:val="clear"/>
          </w:tcPr>
          <w:p>
            <w:pPr>
              <w:jc w:val="center"/>
            </w:pPr>
            <w:r>
              <w:rPr>
                <w:b/>
                <w:color w:val="FFFFFF"/>
                <w:sz w:val="20"/>
              </w:rPr>
              <w:t>Total Sales (INR)</w:t>
            </w:r>
          </w:p>
        </w:tc>
        <w:tc>
          <w:tcPr>
            <w:tcW w:type="dxa" w:w="2340"/>
            <w:shd w:fill="1A1A2E" w:val="clear"/>
          </w:tcPr>
          <w:p>
            <w:pPr>
              <w:jc w:val="center"/>
            </w:pPr>
            <w:r>
              <w:rPr>
                <w:b/>
                <w:color w:val="FFFFFF"/>
                <w:sz w:val="20"/>
              </w:rPr>
              <w:t>Avg Transaction (INR)</w:t>
            </w:r>
          </w:p>
        </w:tc>
        <w:tc>
          <w:tcPr>
            <w:tcW w:type="dxa" w:w="2340"/>
            <w:shd w:fill="1A1A2E" w:val="clear"/>
          </w:tcPr>
          <w:p>
            <w:pPr>
              <w:jc w:val="center"/>
            </w:pPr>
            <w:r>
              <w:rPr>
                <w:b/>
                <w:color w:val="FFFFFF"/>
                <w:sz w:val="20"/>
              </w:rPr>
              <w:t>Transactions</w:t>
            </w:r>
          </w:p>
        </w:tc>
      </w:tr>
      <w:tr>
        <w:tc>
          <w:tcPr>
            <w:tcW w:type="dxa" w:w="2340"/>
          </w:tcPr>
          <w:p>
            <w:pPr>
              <w:jc w:val="center"/>
            </w:pPr>
            <w:r>
              <w:rPr>
                <w:sz w:val="20"/>
              </w:rPr>
              <w:t>Beverages</w:t>
            </w:r>
          </w:p>
        </w:tc>
        <w:tc>
          <w:tcPr>
            <w:tcW w:type="dxa" w:w="2340"/>
          </w:tcPr>
          <w:p>
            <w:pPr>
              <w:jc w:val="center"/>
            </w:pPr>
            <w:r>
              <w:rPr>
                <w:sz w:val="20"/>
              </w:rPr>
              <w:t>56,108.24</w:t>
            </w:r>
          </w:p>
        </w:tc>
        <w:tc>
          <w:tcPr>
            <w:tcW w:type="dxa" w:w="2340"/>
          </w:tcPr>
          <w:p>
            <w:pPr>
              <w:jc w:val="center"/>
            </w:pPr>
            <w:r>
              <w:rPr>
                <w:sz w:val="20"/>
              </w:rPr>
              <w:t>684.25</w:t>
            </w:r>
          </w:p>
        </w:tc>
        <w:tc>
          <w:tcPr>
            <w:tcW w:type="dxa" w:w="2340"/>
          </w:tcPr>
          <w:p>
            <w:pPr>
              <w:jc w:val="center"/>
            </w:pPr>
            <w:r>
              <w:rPr>
                <w:sz w:val="20"/>
              </w:rPr>
              <w:t>82</w:t>
            </w:r>
          </w:p>
        </w:tc>
      </w:tr>
      <w:tr>
        <w:tc>
          <w:tcPr>
            <w:tcW w:type="dxa" w:w="2340"/>
          </w:tcPr>
          <w:p>
            <w:pPr>
              <w:jc w:val="center"/>
            </w:pPr>
            <w:r>
              <w:rPr>
                <w:sz w:val="20"/>
              </w:rPr>
              <w:t>Personal Care</w:t>
            </w:r>
          </w:p>
        </w:tc>
        <w:tc>
          <w:tcPr>
            <w:tcW w:type="dxa" w:w="2340"/>
          </w:tcPr>
          <w:p>
            <w:pPr>
              <w:jc w:val="center"/>
            </w:pPr>
            <w:r>
              <w:rPr>
                <w:sz w:val="20"/>
              </w:rPr>
              <w:t>45,943.96</w:t>
            </w:r>
          </w:p>
        </w:tc>
        <w:tc>
          <w:tcPr>
            <w:tcW w:type="dxa" w:w="2340"/>
          </w:tcPr>
          <w:p>
            <w:pPr>
              <w:jc w:val="center"/>
            </w:pPr>
            <w:r>
              <w:rPr>
                <w:sz w:val="20"/>
              </w:rPr>
              <w:t>629.37</w:t>
            </w:r>
          </w:p>
        </w:tc>
        <w:tc>
          <w:tcPr>
            <w:tcW w:type="dxa" w:w="2340"/>
          </w:tcPr>
          <w:p>
            <w:pPr>
              <w:jc w:val="center"/>
            </w:pPr>
            <w:r>
              <w:rPr>
                <w:sz w:val="20"/>
              </w:rPr>
              <w:t>73</w:t>
            </w:r>
          </w:p>
        </w:tc>
      </w:tr>
      <w:tr>
        <w:tc>
          <w:tcPr>
            <w:tcW w:type="dxa" w:w="2340"/>
          </w:tcPr>
          <w:p>
            <w:pPr>
              <w:jc w:val="center"/>
            </w:pPr>
            <w:r>
              <w:rPr>
                <w:sz w:val="20"/>
              </w:rPr>
              <w:t>Dairy</w:t>
            </w:r>
          </w:p>
        </w:tc>
        <w:tc>
          <w:tcPr>
            <w:tcW w:type="dxa" w:w="2340"/>
          </w:tcPr>
          <w:p>
            <w:pPr>
              <w:jc w:val="center"/>
            </w:pPr>
            <w:r>
              <w:rPr>
                <w:sz w:val="20"/>
              </w:rPr>
              <w:t>43,992.00</w:t>
            </w:r>
          </w:p>
        </w:tc>
        <w:tc>
          <w:tcPr>
            <w:tcW w:type="dxa" w:w="2340"/>
          </w:tcPr>
          <w:p>
            <w:pPr>
              <w:jc w:val="center"/>
            </w:pPr>
            <w:r>
              <w:rPr>
                <w:sz w:val="20"/>
              </w:rPr>
              <w:t>646.94</w:t>
            </w:r>
          </w:p>
        </w:tc>
        <w:tc>
          <w:tcPr>
            <w:tcW w:type="dxa" w:w="2340"/>
          </w:tcPr>
          <w:p>
            <w:pPr>
              <w:jc w:val="center"/>
            </w:pPr>
            <w:r>
              <w:rPr>
                <w:sz w:val="20"/>
              </w:rPr>
              <w:t>68</w:t>
            </w:r>
          </w:p>
        </w:tc>
      </w:tr>
      <w:tr>
        <w:tc>
          <w:tcPr>
            <w:tcW w:type="dxa" w:w="2340"/>
          </w:tcPr>
          <w:p>
            <w:pPr>
              <w:jc w:val="center"/>
            </w:pPr>
            <w:r>
              <w:rPr>
                <w:sz w:val="20"/>
              </w:rPr>
              <w:t>Grocery</w:t>
            </w:r>
          </w:p>
        </w:tc>
        <w:tc>
          <w:tcPr>
            <w:tcW w:type="dxa" w:w="2340"/>
          </w:tcPr>
          <w:p>
            <w:pPr>
              <w:jc w:val="center"/>
            </w:pPr>
            <w:r>
              <w:rPr>
                <w:sz w:val="20"/>
              </w:rPr>
              <w:t>40,470.47</w:t>
            </w:r>
          </w:p>
        </w:tc>
        <w:tc>
          <w:tcPr>
            <w:tcW w:type="dxa" w:w="2340"/>
          </w:tcPr>
          <w:p>
            <w:pPr>
              <w:jc w:val="center"/>
            </w:pPr>
            <w:r>
              <w:rPr>
                <w:sz w:val="20"/>
              </w:rPr>
              <w:t>493.54</w:t>
            </w:r>
          </w:p>
        </w:tc>
        <w:tc>
          <w:tcPr>
            <w:tcW w:type="dxa" w:w="2340"/>
          </w:tcPr>
          <w:p>
            <w:pPr>
              <w:jc w:val="center"/>
            </w:pPr>
            <w:r>
              <w:rPr>
                <w:sz w:val="20"/>
              </w:rPr>
              <w:t>82</w:t>
            </w:r>
          </w:p>
        </w:tc>
      </w:tr>
      <w:tr>
        <w:tc>
          <w:tcPr>
            <w:tcW w:type="dxa" w:w="2340"/>
          </w:tcPr>
          <w:p>
            <w:pPr>
              <w:jc w:val="center"/>
            </w:pPr>
            <w:r>
              <w:rPr>
                <w:sz w:val="20"/>
              </w:rPr>
              <w:t>Fruits</w:t>
            </w:r>
          </w:p>
        </w:tc>
        <w:tc>
          <w:tcPr>
            <w:tcW w:type="dxa" w:w="2340"/>
          </w:tcPr>
          <w:p>
            <w:pPr>
              <w:jc w:val="center"/>
            </w:pPr>
            <w:r>
              <w:rPr>
                <w:sz w:val="20"/>
              </w:rPr>
              <w:t>23,263.17</w:t>
            </w:r>
          </w:p>
        </w:tc>
        <w:tc>
          <w:tcPr>
            <w:tcW w:type="dxa" w:w="2340"/>
          </w:tcPr>
          <w:p>
            <w:pPr>
              <w:jc w:val="center"/>
            </w:pPr>
            <w:r>
              <w:rPr>
                <w:sz w:val="20"/>
              </w:rPr>
              <w:t>528.71</w:t>
            </w:r>
          </w:p>
        </w:tc>
        <w:tc>
          <w:tcPr>
            <w:tcW w:type="dxa" w:w="2340"/>
          </w:tcPr>
          <w:p>
            <w:pPr>
              <w:jc w:val="center"/>
            </w:pPr>
            <w:r>
              <w:rPr>
                <w:sz w:val="20"/>
              </w:rPr>
              <w:t>44</w:t>
            </w:r>
          </w:p>
        </w:tc>
      </w:tr>
      <w:tr>
        <w:tc>
          <w:tcPr>
            <w:tcW w:type="dxa" w:w="2340"/>
          </w:tcPr>
          <w:p>
            <w:pPr>
              <w:jc w:val="center"/>
            </w:pPr>
            <w:r>
              <w:rPr>
                <w:sz w:val="20"/>
              </w:rPr>
              <w:t>Snacks</w:t>
            </w:r>
          </w:p>
        </w:tc>
        <w:tc>
          <w:tcPr>
            <w:tcW w:type="dxa" w:w="2340"/>
          </w:tcPr>
          <w:p>
            <w:pPr>
              <w:jc w:val="center"/>
            </w:pPr>
            <w:r>
              <w:rPr>
                <w:sz w:val="20"/>
              </w:rPr>
              <w:t>16,992.97</w:t>
            </w:r>
          </w:p>
        </w:tc>
        <w:tc>
          <w:tcPr>
            <w:tcW w:type="dxa" w:w="2340"/>
          </w:tcPr>
          <w:p>
            <w:pPr>
              <w:jc w:val="center"/>
            </w:pPr>
            <w:r>
              <w:rPr>
                <w:sz w:val="20"/>
              </w:rPr>
              <w:t>226.57</w:t>
            </w:r>
          </w:p>
        </w:tc>
        <w:tc>
          <w:tcPr>
            <w:tcW w:type="dxa" w:w="2340"/>
          </w:tcPr>
          <w:p>
            <w:pPr>
              <w:jc w:val="center"/>
            </w:pPr>
            <w:r>
              <w:rPr>
                <w:sz w:val="20"/>
              </w:rPr>
              <w:t>75</w:t>
            </w:r>
          </w:p>
        </w:tc>
      </w:tr>
      <w:tr>
        <w:tc>
          <w:tcPr>
            <w:tcW w:type="dxa" w:w="2340"/>
          </w:tcPr>
          <w:p>
            <w:pPr>
              <w:jc w:val="center"/>
            </w:pPr>
            <w:r>
              <w:rPr>
                <w:sz w:val="20"/>
              </w:rPr>
              <w:t>Vegetables</w:t>
            </w:r>
          </w:p>
        </w:tc>
        <w:tc>
          <w:tcPr>
            <w:tcW w:type="dxa" w:w="2340"/>
          </w:tcPr>
          <w:p>
            <w:pPr>
              <w:jc w:val="center"/>
            </w:pPr>
            <w:r>
              <w:rPr>
                <w:sz w:val="20"/>
              </w:rPr>
              <w:t>11,124.17</w:t>
            </w:r>
          </w:p>
        </w:tc>
        <w:tc>
          <w:tcPr>
            <w:tcW w:type="dxa" w:w="2340"/>
          </w:tcPr>
          <w:p>
            <w:pPr>
              <w:jc w:val="center"/>
            </w:pPr>
            <w:r>
              <w:rPr>
                <w:sz w:val="20"/>
              </w:rPr>
              <w:t>231.75</w:t>
            </w:r>
          </w:p>
        </w:tc>
        <w:tc>
          <w:tcPr>
            <w:tcW w:type="dxa" w:w="2340"/>
          </w:tcPr>
          <w:p>
            <w:pPr>
              <w:jc w:val="center"/>
            </w:pPr>
            <w:r>
              <w:rPr>
                <w:sz w:val="20"/>
              </w:rPr>
              <w:t>48</w:t>
            </w:r>
          </w:p>
        </w:tc>
      </w:tr>
      <w:tr>
        <w:tc>
          <w:tcPr>
            <w:tcW w:type="dxa" w:w="2340"/>
          </w:tcPr>
          <w:p>
            <w:pPr>
              <w:jc w:val="center"/>
            </w:pPr>
            <w:r>
              <w:rPr>
                <w:sz w:val="20"/>
              </w:rPr>
              <w:t>Bakery</w:t>
            </w:r>
          </w:p>
        </w:tc>
        <w:tc>
          <w:tcPr>
            <w:tcW w:type="dxa" w:w="2340"/>
          </w:tcPr>
          <w:p>
            <w:pPr>
              <w:jc w:val="center"/>
            </w:pPr>
            <w:r>
              <w:rPr>
                <w:sz w:val="20"/>
              </w:rPr>
              <w:t>6,516.10</w:t>
            </w:r>
          </w:p>
        </w:tc>
        <w:tc>
          <w:tcPr>
            <w:tcW w:type="dxa" w:w="2340"/>
          </w:tcPr>
          <w:p>
            <w:pPr>
              <w:jc w:val="center"/>
            </w:pPr>
            <w:r>
              <w:rPr>
                <w:sz w:val="20"/>
              </w:rPr>
              <w:t>232.72</w:t>
            </w:r>
          </w:p>
        </w:tc>
        <w:tc>
          <w:tcPr>
            <w:tcW w:type="dxa" w:w="2340"/>
          </w:tcPr>
          <w:p>
            <w:pPr>
              <w:jc w:val="center"/>
            </w:pPr>
            <w:r>
              <w:rPr>
                <w:sz w:val="20"/>
              </w:rPr>
              <w:t>28</w:t>
            </w:r>
          </w:p>
        </w:tc>
      </w:tr>
    </w:tbl>
    <w:p/>
    <w:p>
      <w:pPr>
        <w:jc w:val="center"/>
      </w:pPr>
      <w:r>
        <w:drawing>
          <wp:inline xmlns:a="http://schemas.openxmlformats.org/drawingml/2006/main" xmlns:pic="http://schemas.openxmlformats.org/drawingml/2006/picture">
            <wp:extent cx="5303520" cy="2580214"/>
            <wp:docPr id="3" name="Picture 3"/>
            <wp:cNvGraphicFramePr>
              <a:graphicFrameLocks noChangeAspect="1"/>
            </wp:cNvGraphicFramePr>
            <a:graphic>
              <a:graphicData uri="http://schemas.openxmlformats.org/drawingml/2006/picture">
                <pic:pic>
                  <pic:nvPicPr>
                    <pic:cNvPr id="0" name="04_category_analysis.png"/>
                    <pic:cNvPicPr/>
                  </pic:nvPicPr>
                  <pic:blipFill>
                    <a:blip r:embed="rId11"/>
                    <a:stretch>
                      <a:fillRect/>
                    </a:stretch>
                  </pic:blipFill>
                  <pic:spPr>
                    <a:xfrm>
                      <a:off x="0" y="0"/>
                      <a:ext cx="5303520" cy="2580214"/>
                    </a:xfrm>
                    <a:prstGeom prst="rect"/>
                  </pic:spPr>
                </pic:pic>
              </a:graphicData>
            </a:graphic>
          </wp:inline>
        </w:drawing>
      </w:r>
    </w:p>
    <w:p>
      <w:pPr>
        <w:jc w:val="center"/>
      </w:pPr>
      <w:r>
        <w:rPr>
          <w:i/>
          <w:sz w:val="18"/>
        </w:rPr>
        <w:t>Figure 3: Category Analysis (Sales &amp; Transaction Share)</w:t>
      </w:r>
    </w:p>
    <w:p>
      <w:r>
        <w:br w:type="page"/>
      </w:r>
    </w:p>
    <w:p>
      <w:pPr>
        <w:pStyle w:val="Heading2"/>
      </w:pPr>
      <w:r>
        <w:rPr>
          <w:color w:val="1A1A2E"/>
        </w:rPr>
        <w:t>4.4 Payment Method Analysis</w:t>
      </w:r>
    </w:p>
    <w:p>
      <w:r>
        <w:t>UPI is the most popular payment method with 127 transactions, followed by Net Banking (126), Card (125), and Cash (122). UPI also leads in total sales.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1A2E" w:val="clear"/>
          </w:tcPr>
          <w:p>
            <w:pPr>
              <w:jc w:val="center"/>
            </w:pPr>
            <w:r>
              <w:rPr>
                <w:b/>
                <w:color w:val="FFFFFF"/>
                <w:sz w:val="20"/>
              </w:rPr>
              <w:t>Payment Method</w:t>
            </w:r>
          </w:p>
        </w:tc>
        <w:tc>
          <w:tcPr>
            <w:tcW w:type="dxa" w:w="2340"/>
            <w:shd w:fill="1A1A2E" w:val="clear"/>
          </w:tcPr>
          <w:p>
            <w:pPr>
              <w:jc w:val="center"/>
            </w:pPr>
            <w:r>
              <w:rPr>
                <w:b/>
                <w:color w:val="FFFFFF"/>
                <w:sz w:val="20"/>
              </w:rPr>
              <w:t>Transactions</w:t>
            </w:r>
          </w:p>
        </w:tc>
        <w:tc>
          <w:tcPr>
            <w:tcW w:type="dxa" w:w="2340"/>
            <w:shd w:fill="1A1A2E" w:val="clear"/>
          </w:tcPr>
          <w:p>
            <w:pPr>
              <w:jc w:val="center"/>
            </w:pPr>
            <w:r>
              <w:rPr>
                <w:b/>
                <w:color w:val="FFFFFF"/>
                <w:sz w:val="20"/>
              </w:rPr>
              <w:t>Total Sales (INR)</w:t>
            </w:r>
          </w:p>
        </w:tc>
        <w:tc>
          <w:tcPr>
            <w:tcW w:type="dxa" w:w="2340"/>
            <w:shd w:fill="1A1A2E" w:val="clear"/>
          </w:tcPr>
          <w:p>
            <w:pPr>
              <w:jc w:val="center"/>
            </w:pPr>
            <w:r>
              <w:rPr>
                <w:b/>
                <w:color w:val="FFFFFF"/>
                <w:sz w:val="20"/>
              </w:rPr>
              <w:t>Avg Transaction (INR)</w:t>
            </w:r>
          </w:p>
        </w:tc>
      </w:tr>
      <w:tr>
        <w:tc>
          <w:tcPr>
            <w:tcW w:type="dxa" w:w="2340"/>
          </w:tcPr>
          <w:p>
            <w:pPr>
              <w:jc w:val="center"/>
            </w:pPr>
            <w:r>
              <w:rPr>
                <w:sz w:val="20"/>
              </w:rPr>
              <w:t>UPI</w:t>
            </w:r>
          </w:p>
        </w:tc>
        <w:tc>
          <w:tcPr>
            <w:tcW w:type="dxa" w:w="2340"/>
          </w:tcPr>
          <w:p>
            <w:pPr>
              <w:jc w:val="center"/>
            </w:pPr>
            <w:r>
              <w:rPr>
                <w:sz w:val="20"/>
              </w:rPr>
              <w:t>127</w:t>
            </w:r>
          </w:p>
        </w:tc>
        <w:tc>
          <w:tcPr>
            <w:tcW w:type="dxa" w:w="2340"/>
          </w:tcPr>
          <w:p>
            <w:pPr>
              <w:jc w:val="center"/>
            </w:pPr>
            <w:r>
              <w:rPr>
                <w:sz w:val="20"/>
              </w:rPr>
              <w:t>67,910.33</w:t>
            </w:r>
          </w:p>
        </w:tc>
        <w:tc>
          <w:tcPr>
            <w:tcW w:type="dxa" w:w="2340"/>
          </w:tcPr>
          <w:p>
            <w:pPr>
              <w:jc w:val="center"/>
            </w:pPr>
            <w:r>
              <w:rPr>
                <w:sz w:val="20"/>
              </w:rPr>
              <w:t>534.73</w:t>
            </w:r>
          </w:p>
        </w:tc>
      </w:tr>
      <w:tr>
        <w:tc>
          <w:tcPr>
            <w:tcW w:type="dxa" w:w="2340"/>
          </w:tcPr>
          <w:p>
            <w:pPr>
              <w:jc w:val="center"/>
            </w:pPr>
            <w:r>
              <w:rPr>
                <w:sz w:val="20"/>
              </w:rPr>
              <w:t>Net Banking</w:t>
            </w:r>
          </w:p>
        </w:tc>
        <w:tc>
          <w:tcPr>
            <w:tcW w:type="dxa" w:w="2340"/>
          </w:tcPr>
          <w:p>
            <w:pPr>
              <w:jc w:val="center"/>
            </w:pPr>
            <w:r>
              <w:rPr>
                <w:sz w:val="20"/>
              </w:rPr>
              <w:t>126</w:t>
            </w:r>
          </w:p>
        </w:tc>
        <w:tc>
          <w:tcPr>
            <w:tcW w:type="dxa" w:w="2340"/>
          </w:tcPr>
          <w:p>
            <w:pPr>
              <w:jc w:val="center"/>
            </w:pPr>
            <w:r>
              <w:rPr>
                <w:sz w:val="20"/>
              </w:rPr>
              <w:t>65,194.93</w:t>
            </w:r>
          </w:p>
        </w:tc>
        <w:tc>
          <w:tcPr>
            <w:tcW w:type="dxa" w:w="2340"/>
          </w:tcPr>
          <w:p>
            <w:pPr>
              <w:jc w:val="center"/>
            </w:pPr>
            <w:r>
              <w:rPr>
                <w:sz w:val="20"/>
              </w:rPr>
              <w:t>517.42</w:t>
            </w:r>
          </w:p>
        </w:tc>
      </w:tr>
      <w:tr>
        <w:tc>
          <w:tcPr>
            <w:tcW w:type="dxa" w:w="2340"/>
          </w:tcPr>
          <w:p>
            <w:pPr>
              <w:jc w:val="center"/>
            </w:pPr>
            <w:r>
              <w:rPr>
                <w:sz w:val="20"/>
              </w:rPr>
              <w:t>Card</w:t>
            </w:r>
          </w:p>
        </w:tc>
        <w:tc>
          <w:tcPr>
            <w:tcW w:type="dxa" w:w="2340"/>
          </w:tcPr>
          <w:p>
            <w:pPr>
              <w:jc w:val="center"/>
            </w:pPr>
            <w:r>
              <w:rPr>
                <w:sz w:val="20"/>
              </w:rPr>
              <w:t>125</w:t>
            </w:r>
          </w:p>
        </w:tc>
        <w:tc>
          <w:tcPr>
            <w:tcW w:type="dxa" w:w="2340"/>
          </w:tcPr>
          <w:p>
            <w:pPr>
              <w:jc w:val="center"/>
            </w:pPr>
            <w:r>
              <w:rPr>
                <w:sz w:val="20"/>
              </w:rPr>
              <w:t>57,265.64</w:t>
            </w:r>
          </w:p>
        </w:tc>
        <w:tc>
          <w:tcPr>
            <w:tcW w:type="dxa" w:w="2340"/>
          </w:tcPr>
          <w:p>
            <w:pPr>
              <w:jc w:val="center"/>
            </w:pPr>
            <w:r>
              <w:rPr>
                <w:sz w:val="20"/>
              </w:rPr>
              <w:t>458.13</w:t>
            </w:r>
          </w:p>
        </w:tc>
      </w:tr>
      <w:tr>
        <w:tc>
          <w:tcPr>
            <w:tcW w:type="dxa" w:w="2340"/>
          </w:tcPr>
          <w:p>
            <w:pPr>
              <w:jc w:val="center"/>
            </w:pPr>
            <w:r>
              <w:rPr>
                <w:sz w:val="20"/>
              </w:rPr>
              <w:t>Cash</w:t>
            </w:r>
          </w:p>
        </w:tc>
        <w:tc>
          <w:tcPr>
            <w:tcW w:type="dxa" w:w="2340"/>
          </w:tcPr>
          <w:p>
            <w:pPr>
              <w:jc w:val="center"/>
            </w:pPr>
            <w:r>
              <w:rPr>
                <w:sz w:val="20"/>
              </w:rPr>
              <w:t>122</w:t>
            </w:r>
          </w:p>
        </w:tc>
        <w:tc>
          <w:tcPr>
            <w:tcW w:type="dxa" w:w="2340"/>
          </w:tcPr>
          <w:p>
            <w:pPr>
              <w:jc w:val="center"/>
            </w:pPr>
            <w:r>
              <w:rPr>
                <w:sz w:val="20"/>
              </w:rPr>
              <w:t>54,040.18</w:t>
            </w:r>
          </w:p>
        </w:tc>
        <w:tc>
          <w:tcPr>
            <w:tcW w:type="dxa" w:w="2340"/>
          </w:tcPr>
          <w:p>
            <w:pPr>
              <w:jc w:val="center"/>
            </w:pPr>
            <w:r>
              <w:rPr>
                <w:sz w:val="20"/>
              </w:rPr>
              <w:t>442.95</w:t>
            </w:r>
          </w:p>
        </w:tc>
      </w:tr>
    </w:tbl>
    <w:p/>
    <w:p>
      <w:pPr>
        <w:jc w:val="center"/>
      </w:pPr>
      <w:r>
        <w:drawing>
          <wp:inline xmlns:a="http://schemas.openxmlformats.org/drawingml/2006/main" xmlns:pic="http://schemas.openxmlformats.org/drawingml/2006/picture">
            <wp:extent cx="5303520" cy="2733575"/>
            <wp:docPr id="4" name="Picture 4"/>
            <wp:cNvGraphicFramePr>
              <a:graphicFrameLocks noChangeAspect="1"/>
            </wp:cNvGraphicFramePr>
            <a:graphic>
              <a:graphicData uri="http://schemas.openxmlformats.org/drawingml/2006/picture">
                <pic:pic>
                  <pic:nvPicPr>
                    <pic:cNvPr id="0" name="05_payment_analysis.png"/>
                    <pic:cNvPicPr/>
                  </pic:nvPicPr>
                  <pic:blipFill>
                    <a:blip r:embed="rId12"/>
                    <a:stretch>
                      <a:fillRect/>
                    </a:stretch>
                  </pic:blipFill>
                  <pic:spPr>
                    <a:xfrm>
                      <a:off x="0" y="0"/>
                      <a:ext cx="5303520" cy="2733575"/>
                    </a:xfrm>
                    <a:prstGeom prst="rect"/>
                  </pic:spPr>
                </pic:pic>
              </a:graphicData>
            </a:graphic>
          </wp:inline>
        </w:drawing>
      </w:r>
    </w:p>
    <w:p>
      <w:pPr>
        <w:jc w:val="center"/>
      </w:pPr>
      <w:r>
        <w:rPr>
          <w:i/>
          <w:sz w:val="18"/>
        </w:rPr>
        <w:t>Figure 4: Payment Method Analysis</w:t>
      </w:r>
    </w:p>
    <w:p>
      <w:r>
        <w:br w:type="page"/>
      </w:r>
    </w:p>
    <w:p>
      <w:pPr>
        <w:pStyle w:val="Heading2"/>
      </w:pPr>
      <w:r>
        <w:rPr>
          <w:color w:val="1A1A2E"/>
        </w:rPr>
        <w:t>4.5 Customer Type Analysis</w:t>
      </w:r>
    </w:p>
    <w:p>
      <w:r>
        <w:t>Members account for more transactions (296) than Normal customers (204), but Normal customers have a slightly higher average transaction value (INR 497.07 vs INR 483.14).</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1A2E" w:val="clear"/>
          </w:tcPr>
          <w:p>
            <w:pPr>
              <w:jc w:val="center"/>
            </w:pPr>
            <w:r>
              <w:rPr>
                <w:b/>
                <w:color w:val="FFFFFF"/>
                <w:sz w:val="20"/>
              </w:rPr>
              <w:t>Customer Type</w:t>
            </w:r>
          </w:p>
        </w:tc>
        <w:tc>
          <w:tcPr>
            <w:tcW w:type="dxa" w:w="2340"/>
            <w:shd w:fill="1A1A2E" w:val="clear"/>
          </w:tcPr>
          <w:p>
            <w:pPr>
              <w:jc w:val="center"/>
            </w:pPr>
            <w:r>
              <w:rPr>
                <w:b/>
                <w:color w:val="FFFFFF"/>
                <w:sz w:val="20"/>
              </w:rPr>
              <w:t>Transactions</w:t>
            </w:r>
          </w:p>
        </w:tc>
        <w:tc>
          <w:tcPr>
            <w:tcW w:type="dxa" w:w="2340"/>
            <w:shd w:fill="1A1A2E" w:val="clear"/>
          </w:tcPr>
          <w:p>
            <w:pPr>
              <w:jc w:val="center"/>
            </w:pPr>
            <w:r>
              <w:rPr>
                <w:b/>
                <w:color w:val="FFFFFF"/>
                <w:sz w:val="20"/>
              </w:rPr>
              <w:t>Total Sales (INR)</w:t>
            </w:r>
          </w:p>
        </w:tc>
        <w:tc>
          <w:tcPr>
            <w:tcW w:type="dxa" w:w="2340"/>
            <w:shd w:fill="1A1A2E" w:val="clear"/>
          </w:tcPr>
          <w:p>
            <w:pPr>
              <w:jc w:val="center"/>
            </w:pPr>
            <w:r>
              <w:rPr>
                <w:b/>
                <w:color w:val="FFFFFF"/>
                <w:sz w:val="20"/>
              </w:rPr>
              <w:t>Avg Transaction (INR)</w:t>
            </w:r>
          </w:p>
        </w:tc>
      </w:tr>
      <w:tr>
        <w:tc>
          <w:tcPr>
            <w:tcW w:type="dxa" w:w="2340"/>
          </w:tcPr>
          <w:p>
            <w:pPr>
              <w:jc w:val="center"/>
            </w:pPr>
            <w:r>
              <w:rPr>
                <w:sz w:val="20"/>
              </w:rPr>
              <w:t>Member</w:t>
            </w:r>
          </w:p>
        </w:tc>
        <w:tc>
          <w:tcPr>
            <w:tcW w:type="dxa" w:w="2340"/>
          </w:tcPr>
          <w:p>
            <w:pPr>
              <w:jc w:val="center"/>
            </w:pPr>
            <w:r>
              <w:rPr>
                <w:sz w:val="20"/>
              </w:rPr>
              <w:t>296</w:t>
            </w:r>
          </w:p>
        </w:tc>
        <w:tc>
          <w:tcPr>
            <w:tcW w:type="dxa" w:w="2340"/>
          </w:tcPr>
          <w:p>
            <w:pPr>
              <w:jc w:val="center"/>
            </w:pPr>
            <w:r>
              <w:rPr>
                <w:sz w:val="20"/>
              </w:rPr>
              <w:t>1,43,009.30</w:t>
            </w:r>
          </w:p>
        </w:tc>
        <w:tc>
          <w:tcPr>
            <w:tcW w:type="dxa" w:w="2340"/>
          </w:tcPr>
          <w:p>
            <w:pPr>
              <w:jc w:val="center"/>
            </w:pPr>
            <w:r>
              <w:rPr>
                <w:sz w:val="20"/>
              </w:rPr>
              <w:t>483.14</w:t>
            </w:r>
          </w:p>
        </w:tc>
      </w:tr>
      <w:tr>
        <w:tc>
          <w:tcPr>
            <w:tcW w:type="dxa" w:w="2340"/>
          </w:tcPr>
          <w:p>
            <w:pPr>
              <w:jc w:val="center"/>
            </w:pPr>
            <w:r>
              <w:rPr>
                <w:sz w:val="20"/>
              </w:rPr>
              <w:t>Normal</w:t>
            </w:r>
          </w:p>
        </w:tc>
        <w:tc>
          <w:tcPr>
            <w:tcW w:type="dxa" w:w="2340"/>
          </w:tcPr>
          <w:p>
            <w:pPr>
              <w:jc w:val="center"/>
            </w:pPr>
            <w:r>
              <w:rPr>
                <w:sz w:val="20"/>
              </w:rPr>
              <w:t>204</w:t>
            </w:r>
          </w:p>
        </w:tc>
        <w:tc>
          <w:tcPr>
            <w:tcW w:type="dxa" w:w="2340"/>
          </w:tcPr>
          <w:p>
            <w:pPr>
              <w:jc w:val="center"/>
            </w:pPr>
            <w:r>
              <w:rPr>
                <w:sz w:val="20"/>
              </w:rPr>
              <w:t>1,01,401.78</w:t>
            </w:r>
          </w:p>
        </w:tc>
        <w:tc>
          <w:tcPr>
            <w:tcW w:type="dxa" w:w="2340"/>
          </w:tcPr>
          <w:p>
            <w:pPr>
              <w:jc w:val="center"/>
            </w:pPr>
            <w:r>
              <w:rPr>
                <w:sz w:val="20"/>
              </w:rPr>
              <w:t>497.07</w:t>
            </w:r>
          </w:p>
        </w:tc>
      </w:tr>
    </w:tbl>
    <w:p/>
    <w:p>
      <w:pPr>
        <w:jc w:val="center"/>
      </w:pPr>
      <w:r>
        <w:drawing>
          <wp:inline xmlns:a="http://schemas.openxmlformats.org/drawingml/2006/main" xmlns:pic="http://schemas.openxmlformats.org/drawingml/2006/picture">
            <wp:extent cx="5303520" cy="1902686"/>
            <wp:docPr id="5" name="Picture 5"/>
            <wp:cNvGraphicFramePr>
              <a:graphicFrameLocks noChangeAspect="1"/>
            </wp:cNvGraphicFramePr>
            <a:graphic>
              <a:graphicData uri="http://schemas.openxmlformats.org/drawingml/2006/picture">
                <pic:pic>
                  <pic:nvPicPr>
                    <pic:cNvPr id="0" name="06_customer_type_analysis.png"/>
                    <pic:cNvPicPr/>
                  </pic:nvPicPr>
                  <pic:blipFill>
                    <a:blip r:embed="rId13"/>
                    <a:stretch>
                      <a:fillRect/>
                    </a:stretch>
                  </pic:blipFill>
                  <pic:spPr>
                    <a:xfrm>
                      <a:off x="0" y="0"/>
                      <a:ext cx="5303520" cy="1902686"/>
                    </a:xfrm>
                    <a:prstGeom prst="rect"/>
                  </pic:spPr>
                </pic:pic>
              </a:graphicData>
            </a:graphic>
          </wp:inline>
        </w:drawing>
      </w:r>
    </w:p>
    <w:p>
      <w:pPr>
        <w:jc w:val="center"/>
      </w:pPr>
      <w:r>
        <w:rPr>
          <w:i/>
          <w:sz w:val="18"/>
        </w:rPr>
        <w:t>Figure 5: Customer Type Comparison</w:t>
      </w:r>
    </w:p>
    <w:p>
      <w:r>
        <w:br w:type="page"/>
      </w:r>
    </w:p>
    <w:p>
      <w:pPr>
        <w:pStyle w:val="Heading2"/>
      </w:pPr>
      <w:r>
        <w:rPr>
          <w:color w:val="1A1A2E"/>
        </w:rPr>
        <w:t>4.6 Gender Analysis</w:t>
      </w:r>
    </w:p>
    <w:p>
      <w:r>
        <w:t>Sales are fairly balanced across genders. Female customers contributed INR 1,23,954.12 across 255 transactions, while Male customers contributed INR 1,20,456.96 across 245 transactions.</w:t>
      </w:r>
    </w:p>
    <w:p/>
    <w:p>
      <w:pPr>
        <w:jc w:val="center"/>
      </w:pPr>
      <w:r>
        <w:drawing>
          <wp:inline xmlns:a="http://schemas.openxmlformats.org/drawingml/2006/main" xmlns:pic="http://schemas.openxmlformats.org/drawingml/2006/picture">
            <wp:extent cx="5303520" cy="2469180"/>
            <wp:docPr id="6" name="Picture 6"/>
            <wp:cNvGraphicFramePr>
              <a:graphicFrameLocks noChangeAspect="1"/>
            </wp:cNvGraphicFramePr>
            <a:graphic>
              <a:graphicData uri="http://schemas.openxmlformats.org/drawingml/2006/picture">
                <pic:pic>
                  <pic:nvPicPr>
                    <pic:cNvPr id="0" name="07_gender_analysis.png"/>
                    <pic:cNvPicPr/>
                  </pic:nvPicPr>
                  <pic:blipFill>
                    <a:blip r:embed="rId14"/>
                    <a:stretch>
                      <a:fillRect/>
                    </a:stretch>
                  </pic:blipFill>
                  <pic:spPr>
                    <a:xfrm>
                      <a:off x="0" y="0"/>
                      <a:ext cx="5303520" cy="2469180"/>
                    </a:xfrm>
                    <a:prstGeom prst="rect"/>
                  </pic:spPr>
                </pic:pic>
              </a:graphicData>
            </a:graphic>
          </wp:inline>
        </w:drawing>
      </w:r>
    </w:p>
    <w:p>
      <w:pPr>
        <w:jc w:val="center"/>
      </w:pPr>
      <w:r>
        <w:rPr>
          <w:i/>
          <w:sz w:val="18"/>
        </w:rPr>
        <w:t>Figure 6: Gender-Based Sales Analysis</w:t>
      </w:r>
    </w:p>
    <w:p>
      <w:r>
        <w:br w:type="page"/>
      </w:r>
    </w:p>
    <w:p>
      <w:pPr>
        <w:pStyle w:val="Heading2"/>
      </w:pPr>
      <w:r>
        <w:rPr>
          <w:color w:val="1A1A2E"/>
        </w:rPr>
        <w:t>4.7 Rating Analysis</w:t>
      </w:r>
    </w:p>
    <w:p>
      <w:r>
        <w:t>The average customer rating is 3.99 out of 5.0. Branch D (Bengaluru) has the highest average rating of 4.09, while Branch A (Jaipur) has the lowest at 3.84. Among categories, Bakery has the highest average rating (4.24).</w:t>
      </w:r>
    </w:p>
    <w:p/>
    <w:p>
      <w:pPr>
        <w:jc w:val="center"/>
      </w:pPr>
      <w:r>
        <w:drawing>
          <wp:inline xmlns:a="http://schemas.openxmlformats.org/drawingml/2006/main" xmlns:pic="http://schemas.openxmlformats.org/drawingml/2006/picture">
            <wp:extent cx="5303520" cy="4094517"/>
            <wp:docPr id="7" name="Picture 7"/>
            <wp:cNvGraphicFramePr>
              <a:graphicFrameLocks noChangeAspect="1"/>
            </wp:cNvGraphicFramePr>
            <a:graphic>
              <a:graphicData uri="http://schemas.openxmlformats.org/drawingml/2006/picture">
                <pic:pic>
                  <pic:nvPicPr>
                    <pic:cNvPr id="0" name="08_rating_analysis.png"/>
                    <pic:cNvPicPr/>
                  </pic:nvPicPr>
                  <pic:blipFill>
                    <a:blip r:embed="rId15"/>
                    <a:stretch>
                      <a:fillRect/>
                    </a:stretch>
                  </pic:blipFill>
                  <pic:spPr>
                    <a:xfrm>
                      <a:off x="0" y="0"/>
                      <a:ext cx="5303520" cy="4094517"/>
                    </a:xfrm>
                    <a:prstGeom prst="rect"/>
                  </pic:spPr>
                </pic:pic>
              </a:graphicData>
            </a:graphic>
          </wp:inline>
        </w:drawing>
      </w:r>
    </w:p>
    <w:p>
      <w:pPr>
        <w:jc w:val="center"/>
      </w:pPr>
      <w:r>
        <w:rPr>
          <w:i/>
          <w:sz w:val="18"/>
        </w:rPr>
        <w:t>Figure 7: Customer Rating Analysis</w:t>
      </w:r>
    </w:p>
    <w:p>
      <w:r>
        <w:br w:type="page"/>
      </w:r>
    </w:p>
    <w:p>
      <w:pPr>
        <w:pStyle w:val="Heading2"/>
      </w:pPr>
      <w:r>
        <w:rPr>
          <w:color w:val="1A1A2E"/>
        </w:rPr>
        <w:t>4.8 Monthly Trend Analysis</w:t>
      </w:r>
    </w:p>
    <w:p>
      <w:r>
        <w:t>April 2026 was the highest-performing month with total sales of INR 52,569.77 across 90 transactions. February had the lowest sales among the full months. July data is partial (only 7 transactions), as the data collection period ends in early July.</w:t>
      </w:r>
    </w:p>
    <w:p/>
    <w:p>
      <w:pPr>
        <w:jc w:val="center"/>
      </w:pPr>
      <w:r>
        <w:drawing>
          <wp:inline xmlns:a="http://schemas.openxmlformats.org/drawingml/2006/main" xmlns:pic="http://schemas.openxmlformats.org/drawingml/2006/picture">
            <wp:extent cx="5303520" cy="2701326"/>
            <wp:docPr id="8" name="Picture 8"/>
            <wp:cNvGraphicFramePr>
              <a:graphicFrameLocks noChangeAspect="1"/>
            </wp:cNvGraphicFramePr>
            <a:graphic>
              <a:graphicData uri="http://schemas.openxmlformats.org/drawingml/2006/picture">
                <pic:pic>
                  <pic:nvPicPr>
                    <pic:cNvPr id="0" name="09_monthly_trend.png"/>
                    <pic:cNvPicPr/>
                  </pic:nvPicPr>
                  <pic:blipFill>
                    <a:blip r:embed="rId16"/>
                    <a:stretch>
                      <a:fillRect/>
                    </a:stretch>
                  </pic:blipFill>
                  <pic:spPr>
                    <a:xfrm>
                      <a:off x="0" y="0"/>
                      <a:ext cx="5303520" cy="2701326"/>
                    </a:xfrm>
                    <a:prstGeom prst="rect"/>
                  </pic:spPr>
                </pic:pic>
              </a:graphicData>
            </a:graphic>
          </wp:inline>
        </w:drawing>
      </w:r>
    </w:p>
    <w:p>
      <w:pPr>
        <w:jc w:val="center"/>
      </w:pPr>
      <w:r>
        <w:rPr>
          <w:i/>
          <w:sz w:val="18"/>
        </w:rPr>
        <w:t>Figure 8: Monthly Sales Trend (Jan-Jul 2026)</w:t>
      </w:r>
    </w:p>
    <w:p>
      <w:r>
        <w:br w:type="page"/>
      </w:r>
    </w:p>
    <w:p>
      <w:pPr>
        <w:pStyle w:val="Heading2"/>
      </w:pPr>
      <w:r>
        <w:rPr>
          <w:color w:val="1A1A2E"/>
        </w:rPr>
        <w:t>4.9 Correlation Analysis</w:t>
      </w:r>
    </w:p>
    <w:p>
      <w:r>
        <w:t>The correlation analysis shows that Sales has a strong positive correlation with both Unit Price (0.722) and Quantity (0.573), which is expected since Sales = Quantity x Unit Price. Rating has a very weak negative correlation with Sales (-0.047), indicating that ratings are independent of purchase amounts.</w:t>
      </w:r>
    </w:p>
    <w:p/>
    <w:p>
      <w:pPr>
        <w:jc w:val="center"/>
      </w:pPr>
      <w:r>
        <w:drawing>
          <wp:inline xmlns:a="http://schemas.openxmlformats.org/drawingml/2006/main" xmlns:pic="http://schemas.openxmlformats.org/drawingml/2006/picture">
            <wp:extent cx="4114800" cy="3694679"/>
            <wp:docPr id="9" name="Picture 9"/>
            <wp:cNvGraphicFramePr>
              <a:graphicFrameLocks noChangeAspect="1"/>
            </wp:cNvGraphicFramePr>
            <a:graphic>
              <a:graphicData uri="http://schemas.openxmlformats.org/drawingml/2006/picture">
                <pic:pic>
                  <pic:nvPicPr>
                    <pic:cNvPr id="0" name="11_correlation_heatmap.png"/>
                    <pic:cNvPicPr/>
                  </pic:nvPicPr>
                  <pic:blipFill>
                    <a:blip r:embed="rId17"/>
                    <a:stretch>
                      <a:fillRect/>
                    </a:stretch>
                  </pic:blipFill>
                  <pic:spPr>
                    <a:xfrm>
                      <a:off x="0" y="0"/>
                      <a:ext cx="4114800" cy="3694679"/>
                    </a:xfrm>
                    <a:prstGeom prst="rect"/>
                  </pic:spPr>
                </pic:pic>
              </a:graphicData>
            </a:graphic>
          </wp:inline>
        </w:drawing>
      </w:r>
    </w:p>
    <w:p>
      <w:pPr>
        <w:jc w:val="center"/>
      </w:pPr>
      <w:r>
        <w:rPr>
          <w:i/>
          <w:sz w:val="18"/>
        </w:rPr>
        <w:t>Figure 9: Correlation Heatmap</w:t>
      </w:r>
    </w:p>
    <w:p>
      <w:r>
        <w:br w:type="page"/>
      </w:r>
    </w:p>
    <w:p>
      <w:pPr>
        <w:pStyle w:val="Heading1"/>
      </w:pPr>
      <w:r>
        <w:rPr>
          <w:color w:val="1A1A2E"/>
        </w:rPr>
        <w:t>5. Key Findings Summary</w:t>
      </w:r>
    </w:p>
    <w:tbl>
      <w:tblPr>
        <w:tblStyle w:val="LightGrid-Accent1"/>
        <w:tblW w:type="auto" w:w="0"/>
        <w:jc w:val="center"/>
        <w:tblLook w:firstColumn="1" w:firstRow="1" w:lastColumn="0" w:lastRow="0" w:noHBand="0" w:noVBand="1" w:val="04A0"/>
      </w:tblPr>
      <w:tblGrid>
        <w:gridCol w:w="4680"/>
        <w:gridCol w:w="4680"/>
      </w:tblGrid>
      <w:tr>
        <w:tc>
          <w:tcPr>
            <w:tcW w:type="dxa" w:w="4680"/>
            <w:shd w:fill="1A1A2E" w:val="clear"/>
          </w:tcPr>
          <w:p>
            <w:pPr>
              <w:jc w:val="center"/>
            </w:pPr>
            <w:r>
              <w:rPr>
                <w:b/>
                <w:color w:val="FFFFFF"/>
                <w:sz w:val="20"/>
              </w:rPr>
              <w:t>Finding</w:t>
            </w:r>
          </w:p>
        </w:tc>
        <w:tc>
          <w:tcPr>
            <w:tcW w:type="dxa" w:w="4680"/>
            <w:shd w:fill="1A1A2E" w:val="clear"/>
          </w:tcPr>
          <w:p>
            <w:pPr>
              <w:jc w:val="center"/>
            </w:pPr>
            <w:r>
              <w:rPr>
                <w:b/>
                <w:color w:val="FFFFFF"/>
                <w:sz w:val="20"/>
              </w:rPr>
              <w:t>Detail</w:t>
            </w:r>
          </w:p>
        </w:tc>
      </w:tr>
      <w:tr>
        <w:tc>
          <w:tcPr>
            <w:tcW w:type="dxa" w:w="4680"/>
          </w:tcPr>
          <w:p>
            <w:pPr>
              <w:jc w:val="center"/>
            </w:pPr>
            <w:r>
              <w:rPr>
                <w:sz w:val="20"/>
              </w:rPr>
              <w:t>Highest-Selling Product</w:t>
            </w:r>
          </w:p>
        </w:tc>
        <w:tc>
          <w:tcPr>
            <w:tcW w:type="dxa" w:w="4680"/>
          </w:tcPr>
          <w:p>
            <w:pPr>
              <w:jc w:val="center"/>
            </w:pPr>
            <w:r>
              <w:rPr>
                <w:sz w:val="20"/>
              </w:rPr>
              <w:t>Cheese generated the highest total sales of INR 27,906.30.</w:t>
            </w:r>
          </w:p>
        </w:tc>
      </w:tr>
      <w:tr>
        <w:tc>
          <w:tcPr>
            <w:tcW w:type="dxa" w:w="4680"/>
          </w:tcPr>
          <w:p>
            <w:pPr>
              <w:jc w:val="center"/>
            </w:pPr>
            <w:r>
              <w:rPr>
                <w:sz w:val="20"/>
              </w:rPr>
              <w:t>Best Performing Branch</w:t>
            </w:r>
          </w:p>
        </w:tc>
        <w:tc>
          <w:tcPr>
            <w:tcW w:type="dxa" w:w="4680"/>
          </w:tcPr>
          <w:p>
            <w:pPr>
              <w:jc w:val="center"/>
            </w:pPr>
            <w:r>
              <w:rPr>
                <w:sz w:val="20"/>
              </w:rPr>
              <w:t>Branch C (Mumbai) performed best with total sales of INR 72,469.45 across 143 transactions.</w:t>
            </w:r>
          </w:p>
        </w:tc>
      </w:tr>
      <w:tr>
        <w:tc>
          <w:tcPr>
            <w:tcW w:type="dxa" w:w="4680"/>
          </w:tcPr>
          <w:p>
            <w:pPr>
              <w:jc w:val="center"/>
            </w:pPr>
            <w:r>
              <w:rPr>
                <w:sz w:val="20"/>
              </w:rPr>
              <w:t>Top Category</w:t>
            </w:r>
          </w:p>
        </w:tc>
        <w:tc>
          <w:tcPr>
            <w:tcW w:type="dxa" w:w="4680"/>
          </w:tcPr>
          <w:p>
            <w:pPr>
              <w:jc w:val="center"/>
            </w:pPr>
            <w:r>
              <w:rPr>
                <w:sz w:val="20"/>
              </w:rPr>
              <w:t>Beverages had the highest total sales of INR 56,108.24 across 82 transactions.</w:t>
            </w:r>
          </w:p>
        </w:tc>
      </w:tr>
      <w:tr>
        <w:tc>
          <w:tcPr>
            <w:tcW w:type="dxa" w:w="4680"/>
          </w:tcPr>
          <w:p>
            <w:pPr>
              <w:jc w:val="center"/>
            </w:pPr>
            <w:r>
              <w:rPr>
                <w:sz w:val="20"/>
              </w:rPr>
              <w:t>Most Popular Payment</w:t>
            </w:r>
          </w:p>
        </w:tc>
        <w:tc>
          <w:tcPr>
            <w:tcW w:type="dxa" w:w="4680"/>
          </w:tcPr>
          <w:p>
            <w:pPr>
              <w:jc w:val="center"/>
            </w:pPr>
            <w:r>
              <w:rPr>
                <w:sz w:val="20"/>
              </w:rPr>
              <w:t>UPI was the most used payment method with 127 transactions, also generating the highest total sales.</w:t>
            </w:r>
          </w:p>
        </w:tc>
      </w:tr>
      <w:tr>
        <w:tc>
          <w:tcPr>
            <w:tcW w:type="dxa" w:w="4680"/>
          </w:tcPr>
          <w:p>
            <w:pPr>
              <w:jc w:val="center"/>
            </w:pPr>
            <w:r>
              <w:rPr>
                <w:sz w:val="20"/>
              </w:rPr>
              <w:t>Member vs Normal</w:t>
            </w:r>
          </w:p>
        </w:tc>
        <w:tc>
          <w:tcPr>
            <w:tcW w:type="dxa" w:w="4680"/>
          </w:tcPr>
          <w:p>
            <w:pPr>
              <w:jc w:val="center"/>
            </w:pPr>
            <w:r>
              <w:rPr>
                <w:sz w:val="20"/>
              </w:rPr>
              <w:t>Normal customers have a slightly higher average transaction (INR 497.07) compared to Members (INR 483.14).</w:t>
            </w:r>
          </w:p>
        </w:tc>
      </w:tr>
      <w:tr>
        <w:tc>
          <w:tcPr>
            <w:tcW w:type="dxa" w:w="4680"/>
          </w:tcPr>
          <w:p>
            <w:pPr>
              <w:jc w:val="center"/>
            </w:pPr>
            <w:r>
              <w:rPr>
                <w:sz w:val="20"/>
              </w:rPr>
              <w:t>Average Rating</w:t>
            </w:r>
          </w:p>
        </w:tc>
        <w:tc>
          <w:tcPr>
            <w:tcW w:type="dxa" w:w="4680"/>
          </w:tcPr>
          <w:p>
            <w:pPr>
              <w:jc w:val="center"/>
            </w:pPr>
            <w:r>
              <w:rPr>
                <w:sz w:val="20"/>
              </w:rPr>
              <w:t>The average customer rating was 3.99 out of 5.0, indicating generally positive satisfaction.</w:t>
            </w:r>
          </w:p>
        </w:tc>
      </w:tr>
      <w:tr>
        <w:tc>
          <w:tcPr>
            <w:tcW w:type="dxa" w:w="4680"/>
          </w:tcPr>
          <w:p>
            <w:pPr>
              <w:jc w:val="center"/>
            </w:pPr>
            <w:r>
              <w:rPr>
                <w:sz w:val="20"/>
              </w:rPr>
              <w:t>Monthly Peak</w:t>
            </w:r>
          </w:p>
        </w:tc>
        <w:tc>
          <w:tcPr>
            <w:tcW w:type="dxa" w:w="4680"/>
          </w:tcPr>
          <w:p>
            <w:pPr>
              <w:jc w:val="center"/>
            </w:pPr>
            <w:r>
              <w:rPr>
                <w:sz w:val="20"/>
              </w:rPr>
              <w:t>April 2026 was the peak sales month with INR 52,569.77 in total sales.</w:t>
            </w:r>
          </w:p>
        </w:tc>
      </w:tr>
      <w:tr>
        <w:tc>
          <w:tcPr>
            <w:tcW w:type="dxa" w:w="4680"/>
          </w:tcPr>
          <w:p>
            <w:pPr>
              <w:jc w:val="center"/>
            </w:pPr>
            <w:r>
              <w:rPr>
                <w:sz w:val="20"/>
              </w:rPr>
              <w:t>Gender Balance</w:t>
            </w:r>
          </w:p>
        </w:tc>
        <w:tc>
          <w:tcPr>
            <w:tcW w:type="dxa" w:w="4680"/>
          </w:tcPr>
          <w:p>
            <w:pPr>
              <w:jc w:val="center"/>
            </w:pPr>
            <w:r>
              <w:rPr>
                <w:sz w:val="20"/>
              </w:rPr>
              <w:t>Sales are nearly equally distributed between Male and Female customers.</w:t>
            </w:r>
          </w:p>
        </w:tc>
      </w:tr>
    </w:tbl>
    <w:p>
      <w:r>
        <w:br w:type="page"/>
      </w:r>
    </w:p>
    <w:p>
      <w:pPr>
        <w:pStyle w:val="Heading1"/>
      </w:pPr>
      <w:r>
        <w:rPr>
          <w:color w:val="1A1A2E"/>
        </w:rPr>
        <w:t>6. Business Recommendations</w:t>
      </w:r>
    </w:p>
    <w:p>
      <w:pPr>
        <w:pStyle w:val="Heading2"/>
      </w:pPr>
      <w:r>
        <w:rPr>
          <w:color w:val="1A1A2E"/>
        </w:rPr>
        <w:t>1. Stock Optimization</w:t>
      </w:r>
    </w:p>
    <w:p>
      <w:r>
        <w:t>Increase stock for high-selling products such as Cheese, Coffee, and Shampoo. Prioritize inventory for the top categories as well, starting with Beverages, followed by Personal Care and Dairy.</w:t>
      </w:r>
    </w:p>
    <w:p>
      <w:pPr>
        <w:pStyle w:val="Heading2"/>
      </w:pPr>
      <w:r>
        <w:rPr>
          <w:color w:val="1A1A2E"/>
        </w:rPr>
        <w:t>2. Branch Strategy</w:t>
      </w:r>
    </w:p>
    <w:p>
      <w:r>
        <w:t>Study Branch C (Mumbai) to understand why it outperforms other branches. Replicate successful practices across branches A, B, and D.</w:t>
      </w:r>
    </w:p>
    <w:p>
      <w:pPr>
        <w:pStyle w:val="Heading2"/>
      </w:pPr>
      <w:r>
        <w:rPr>
          <w:color w:val="1A1A2E"/>
        </w:rPr>
        <w:t>3. Payment Infrastructure</w:t>
      </w:r>
    </w:p>
    <w:p>
      <w:r>
        <w:t>Continue investing in UPI payment infrastructure as it is the most popular payment method. Ensure smooth digital payment processing across all branches.</w:t>
      </w:r>
    </w:p>
    <w:p>
      <w:pPr>
        <w:pStyle w:val="Heading2"/>
      </w:pPr>
      <w:r>
        <w:rPr>
          <w:color w:val="1A1A2E"/>
        </w:rPr>
        <w:t>4. Customer Loyalty Programs</w:t>
      </w:r>
    </w:p>
    <w:p>
      <w:r>
        <w:t>Since Normal customers spend slightly more per transaction than Members, redesign membership benefits and loyalty rewards to incentivize higher spending among Members.</w:t>
      </w:r>
    </w:p>
    <w:p>
      <w:pPr>
        <w:pStyle w:val="Heading2"/>
      </w:pPr>
      <w:r>
        <w:rPr>
          <w:color w:val="1A1A2E"/>
        </w:rPr>
        <w:t>5. Rating Improvement</w:t>
      </w:r>
    </w:p>
    <w:p>
      <w:r>
        <w:t>The average rating of 3.99/5 indicates room for improvement. Focus on customer service training, feedback mechanisms, and product quality to push ratings above 4.5.</w:t>
      </w:r>
    </w:p>
    <w:p>
      <w:pPr>
        <w:pStyle w:val="Heading2"/>
      </w:pPr>
      <w:r>
        <w:rPr>
          <w:color w:val="1A1A2E"/>
        </w:rPr>
        <w:t>6. Seasonal Planning</w:t>
      </w:r>
    </w:p>
    <w:p>
      <w:r>
        <w:t>Use monthly trend data to plan promotions during low-sales months (February, March) and ensure sufficient inventory during peak months (April).</w:t>
      </w:r>
    </w:p>
    <w:p>
      <w:r>
        <w:br w:type="page"/>
      </w:r>
    </w:p>
    <w:p>
      <w:pPr>
        <w:pStyle w:val="Heading1"/>
      </w:pPr>
      <w:r>
        <w:rPr>
          <w:color w:val="1A1A2E"/>
        </w:rPr>
        <w:t>7. Conclusion</w:t>
      </w:r>
    </w:p>
    <w:p>
      <w:r>
        <w:t>This project used Exploratory Data Analysis to turn supermarket sales data into a set of simple findings the business can act on. We analyzed 500 transactions across products, branches, categories, payment methods, customer types, and ratings, and the patterns that came out are clear enough to inform business decisions.</w:t>
      </w:r>
    </w:p>
    <w:p>
      <w:r>
        <w:t>The analysis reveals that Cheese is the top-selling product, Branch C (Mumbai) is the strongest performer, Beverages dominate category sales, and UPI is the preferred payment method. Customer ratings average 3.99/5, showing general satisfaction with room for improvement.</w:t>
      </w:r>
    </w:p>
    <w:p>
      <w:r>
        <w:t>These findings give the supermarket a practical starting point for planning inventory, learning from its strongest branch, and improving how it engages customers.</w:t>
      </w:r>
    </w:p>
    <w:p/>
    <w:p>
      <w:pPr>
        <w:jc w:val="center"/>
      </w:pPr>
      <w:r>
        <w:rPr>
          <w:i/>
          <w:color w:val="999999"/>
          <w:sz w:val="20"/>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