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3F1ED" w:val="clear"/>
            <w:vAlign w:val="top"/>
          </w:tcPr>
          <w:p>
            <w:pPr>
              <w:spacing w:before="4745"/>
            </w:pPr>
          </w:p>
          <w:p>
            <w:pPr>
              <w:pBdr>
                <w:bottom w:val="single" w:color="D6C096" w:sz="6" w:space="8"/>
              </w:pBdr>
              <w:spacing w:after="500"/>
              <w:ind w:left="1200" w:right="800"/>
            </w:pPr>
            <w:r>
              <w:rPr>
                <w:rFonts w:ascii="Times New Roman" w:eastAsia="Times New Roman"/>
                <w:color w:val="9A8455"/>
                <w:spacing w:val="40"/>
                <w:sz w:val="18"/>
                <w:szCs w:val="18"/>
              </w:rPr>
              <w:t xml:space="preserve">T  E  C  H  N  O  L  O  G  Y     A  D  V  I  S  O  R  Y</w:t>
            </w:r>
          </w:p>
          <w:p>
            <w:pPr>
              <w:spacing w:after="300" w:line="920" w:lineRule="atLeast"/>
              <w:ind w:left="1200"/>
            </w:pPr>
            <w:r>
              <w:rPr>
                <w:rFonts w:ascii="Times New Roman" w:eastAsia="Times New Roman"/>
                <w:b/>
                <w:bCs/>
                <w:color w:val="000000"/>
                <w:sz w:val="80"/>
                <w:szCs w:val="80"/>
              </w:rPr>
              <w:t xml:space="preserve">Executive Summary</w:t>
            </w:r>
          </w:p>
          <w:p>
            <w:pPr>
              <w:spacing w:after="800"/>
              <w:ind w:left="1200"/>
            </w:pPr>
            <w:r>
              <w:rPr>
                <w:rFonts w:ascii="Times New Roman" w:eastAsia="Times New Roman"/>
                <w:color w:val="606060"/>
                <w:sz w:val="24"/>
                <w:szCs w:val="24"/>
              </w:rPr>
              <w:t xml:space="preserve">AI Meeting Interpreter — Independent Technology Review</w:t>
            </w:r>
          </w:p>
          <w:p>
            <w:pPr>
              <w:pBdr>
                <w:left w:val="single" w:color="D6C096" w:sz="8" w:space="12"/>
              </w:pBdr>
              <w:spacing w:after="80"/>
              <w:ind w:left="1400"/>
            </w:pPr>
            <w:r>
              <w:rPr>
                <w:rFonts w:ascii="Times New Roman" w:eastAsia="Times New Roman"/>
                <w:color w:val="707070"/>
                <w:sz w:val="24"/>
                <w:szCs w:val="24"/>
              </w:rPr>
              <w:t xml:space="preserve">Document AMI-EXE-001  ·  Version 1.0</w:t>
            </w:r>
          </w:p>
          <w:p>
            <w:pPr>
              <w:pBdr>
                <w:left w:val="single" w:color="D6C096" w:sz="8" w:space="12"/>
              </w:pBdr>
              <w:spacing w:after="80"/>
              <w:ind w:left="1400"/>
            </w:pPr>
            <w:r>
              <w:rPr>
                <w:rFonts w:ascii="Times New Roman" w:eastAsia="Times New Roman"/>
                <w:color w:val="707070"/>
                <w:sz w:val="24"/>
                <w:szCs w:val="24"/>
              </w:rPr>
              <w:t xml:space="preserve">Date of issue: 18 August 2026</w:t>
            </w:r>
          </w:p>
          <w:p>
            <w:pPr>
              <w:pBdr>
                <w:left w:val="single" w:color="D6C096" w:sz="8" w:space="12"/>
              </w:pBdr>
              <w:spacing w:after="80"/>
              <w:ind w:left="1400"/>
            </w:pPr>
            <w:r>
              <w:rPr>
                <w:rFonts w:ascii="Times New Roman" w:eastAsia="Times New Roman"/>
                <w:color w:val="707070"/>
                <w:sz w:val="24"/>
                <w:szCs w:val="24"/>
              </w:rPr>
              <w:t xml:space="preserve">Classification: Client Confidential</w:t>
            </w:r>
          </w:p>
          <w:p>
            <w:pPr>
              <w:spacing w:before="4745"/>
            </w:pPr>
          </w:p>
          <w:p>
            <w:pPr>
              <w:pBdr>
                <w:top w:val="single" w:color="D6C096" w:sz="2" w:space="8"/>
              </w:pBdr>
              <w:spacing w:before="200"/>
              <w:ind w:left="1200" w:right="800"/>
            </w:pPr>
            <w:r>
              <w:rPr>
                <w:rFonts w:ascii="Times New Roman" w:eastAsia="Times New Roman"/>
                <w:color w:val="A0A0A0"/>
                <w:sz w:val="16"/>
                <w:szCs w:val="16"/>
              </w:rPr>
              <w:t xml:space="preserve">AI Meeting Interpreter</w:t>
            </w:r>
            <w:r>
              <w:t xml:space="preserve">                                                        </w:t>
            </w:r>
            <w:r>
              <w:rPr>
                <w:rFonts w:ascii="Times New Roman" w:eastAsia="Times New Roman"/>
                <w:color w:val="A0A0A0"/>
                <w:sz w:val="16"/>
                <w:szCs w:val="16"/>
              </w:rPr>
              <w:t xml:space="preserve">18 August 2026</w:t>
            </w:r>
          </w:p>
        </w:tc>
      </w:tr>
    </w:tbl>
    <w:p>
      <w:pPr>
        <w:sectPr>
          <w:pgSz w:w="11906" w:h="16838" w:orient="portrait"/>
          <w:pgMar w:top="0" w:right="0" w:bottom="0" w:left="0" w:header="708" w:footer="708" w:gutter="0"/>
          <w:docGrid w:linePitch="360"/>
        </w:sectPr>
      </w:pPr>
    </w:p>
    <w:p>
      <w:pPr>
        <w:spacing w:after="240" w:before="120" w:line="312"/>
        <w:jc w:val="left"/>
      </w:pPr>
      <w:r>
        <w:rPr>
          <w:rFonts w:ascii="Times New Roman" w:eastAsia="Times New Roman"/>
          <w:b/>
          <w:bCs/>
          <w:color w:val="000000"/>
          <w:sz w:val="32"/>
          <w:szCs w:val="32"/>
        </w:rPr>
        <w:t xml:space="preserve">Document Control</w:t>
      </w:r>
    </w:p>
    <w:p>
      <w:pPr>
        <w:spacing w:after="120" w:line="312"/>
      </w:pPr>
      <w:r>
        <w:rPr>
          <w:rFonts w:ascii="Times New Roman" w:eastAsia="Times New Roman"/>
          <w:color w:val="404040"/>
          <w:sz w:val="22"/>
          <w:szCs w:val="22"/>
        </w:rPr>
        <w:t xml:space="preserve">The following table records the ownership, status and classification of this document.</w:t>
      </w:r>
    </w:p>
    <w:tbl>
      <w:tblPr>
        <w:tblW w:type="pct" w:w="100%"/>
        <w:tblBorders>
          <w:top w:val="single" w:color="000000" w:sz="2"/>
          <w:left w:val="none"/>
          <w:bottom w:val="single" w:color="000000" w:sz="2"/>
          <w:right w:val="none"/>
          <w:insideH w:val="single" w:color="DDD8CC" w:sz="1"/>
          <w:insideV w:val="none"/>
        </w:tblBorders>
      </w:tblPr>
      <w:tblGrid>
        <w:gridCol w:w="100"/>
        <w:gridCol w:w="100"/>
      </w:tblGrid>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Document Title</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Executive Summary</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Document Identifier</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AMI-EXE-001</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Version</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1.0</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Status</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Issued</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Date of Issue</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2026-08-18</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Prepared By</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Technology Advisory Practice</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Client / Engagement</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AI Meeting Interpreter — Independent Technology Review</w:t>
            </w:r>
          </w:p>
        </w:tc>
      </w:tr>
      <w:tr>
        <w:trPr>
          <w:cantSplit/>
        </w:trPr>
        <w:tc>
          <w:tcPr>
            <w:tcW w:type="pct" w:w="32%"/>
            <w:shd w:fill="F5F3ED" w:val="clear"/>
            <w:tcMar>
              <w:top w:type="dxa" w:w="60"/>
              <w:left w:type="dxa" w:w="120"/>
              <w:bottom w:type="dxa" w:w="60"/>
              <w:right w:type="dxa" w:w="120"/>
            </w:tcMar>
          </w:tcPr>
          <w:p>
            <w:pPr>
              <w:spacing w:line="312"/>
            </w:pPr>
            <w:r>
              <w:rPr>
                <w:rFonts w:ascii="Times New Roman" w:eastAsia="Times New Roman"/>
                <w:b/>
                <w:bCs/>
                <w:color w:val="000000"/>
                <w:sz w:val="21"/>
                <w:szCs w:val="21"/>
              </w:rPr>
              <w:t xml:space="preserve">Classification</w:t>
            </w:r>
          </w:p>
        </w:tc>
        <w:tc>
          <w:tcPr>
            <w:tcW w:type="pct" w:w="68%"/>
            <w:tcMar>
              <w:top w:type="dxa" w:w="60"/>
              <w:left w:type="dxa" w:w="120"/>
              <w:bottom w:type="dxa" w:w="60"/>
              <w:right w:type="dxa" w:w="120"/>
            </w:tcMar>
          </w:tcPr>
          <w:p>
            <w:pPr>
              <w:spacing w:after="0" w:line="312"/>
            </w:pPr>
            <w:r>
              <w:rPr>
                <w:rFonts w:ascii="Times New Roman" w:eastAsia="Times New Roman"/>
                <w:color w:val="000000"/>
                <w:sz w:val="21"/>
                <w:szCs w:val="21"/>
              </w:rPr>
              <w:t xml:space="preserve">Client Confidential</w:t>
            </w:r>
          </w:p>
        </w:tc>
      </w:tr>
    </w:tbl>
    <w:p>
      <w:pPr>
        <w:spacing w:after="160" w:before="160"/>
      </w:pPr>
    </w:p>
    <w:p>
      <w:pPr>
        <w:spacing w:after="80" w:before="120" w:line="312"/>
      </w:pPr>
      <w:r>
        <w:rPr>
          <w:rFonts w:ascii="Times New Roman" w:eastAsia="Times New Roman"/>
          <w:b/>
          <w:bCs/>
          <w:color w:val="000000"/>
          <w:sz w:val="24"/>
          <w:szCs w:val="24"/>
        </w:rPr>
        <w:t xml:space="preserve">Version History</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tblGrid>
      <w:tr>
        <w:trPr>
          <w:cantSplit/>
          <w:tblHeader/>
        </w:trPr>
        <w:tc>
          <w:tcPr>
            <w:tcW w:type="pct" w:w="1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Version</w:t>
            </w:r>
          </w:p>
        </w:tc>
        <w:tc>
          <w:tcPr>
            <w:tcW w:type="pct" w:w="1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Date</w:t>
            </w:r>
          </w:p>
        </w:tc>
        <w:tc>
          <w:tcPr>
            <w:tcW w:type="pct" w:w="2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Author</w:t>
            </w:r>
          </w:p>
        </w:tc>
        <w:tc>
          <w:tcPr>
            <w:tcW w:type="pct" w:w="4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Description of Change</w:t>
            </w:r>
          </w:p>
        </w:tc>
      </w:tr>
      <w:tr>
        <w:trPr>
          <w:cantSplit/>
        </w:trPr>
        <w:tc>
          <w:tcPr>
            <w:tcW w:type="pct" w:w="12%"/>
            <w:tcMar>
              <w:top w:type="dxa" w:w="60"/>
              <w:left w:type="dxa" w:w="120"/>
              <w:bottom w:type="dxa" w:w="60"/>
              <w:right w:type="dxa" w:w="120"/>
            </w:tcMar>
          </w:tcPr>
          <w:p>
            <w:pPr>
              <w:spacing w:after="0" w:line="312"/>
            </w:pPr>
            <w:r>
              <w:rPr>
                <w:rFonts w:ascii="Times New Roman" w:eastAsia="Times New Roman"/>
                <w:color w:val="000000"/>
                <w:sz w:val="21"/>
                <w:szCs w:val="21"/>
              </w:rPr>
              <w:t xml:space="preserve">0.1</w:t>
            </w:r>
          </w:p>
        </w:tc>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2026-08-18</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Technology Advisory</w:t>
            </w:r>
          </w:p>
        </w:tc>
        <w:tc>
          <w:tcPr>
            <w:tcW w:type="pct" w:w="48%"/>
            <w:tcMar>
              <w:top w:type="dxa" w:w="60"/>
              <w:left w:type="dxa" w:w="120"/>
              <w:bottom w:type="dxa" w:w="60"/>
              <w:right w:type="dxa" w:w="120"/>
            </w:tcMar>
          </w:tcPr>
          <w:p>
            <w:pPr>
              <w:spacing w:after="0" w:line="312"/>
            </w:pPr>
            <w:r>
              <w:rPr>
                <w:rFonts w:ascii="Times New Roman" w:eastAsia="Times New Roman"/>
                <w:color w:val="000000"/>
                <w:sz w:val="21"/>
                <w:szCs w:val="21"/>
              </w:rPr>
              <w:t xml:space="preserve">Initial working draft produced from repository inspection.</w:t>
            </w:r>
          </w:p>
        </w:tc>
      </w:tr>
      <w:tr>
        <w:trPr>
          <w:cantSplit/>
        </w:trPr>
        <w:tc>
          <w:tcPr>
            <w:tcW w:type="pct" w:w="1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1.0</w:t>
            </w:r>
          </w:p>
        </w:tc>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2026-08-18</w:t>
            </w:r>
          </w:p>
        </w:tc>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Technology Advisory</w:t>
            </w:r>
          </w:p>
        </w:tc>
        <w:tc>
          <w:tcPr>
            <w:tcW w:type="pct" w:w="4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First issued version for client review.</w:t>
            </w:r>
          </w:p>
        </w:tc>
      </w:tr>
    </w:tbl>
    <w:p>
      <w:pPr>
        <w:spacing w:after="160" w:before="160"/>
      </w:pPr>
    </w:p>
    <w:p>
      <w:pPr>
        <w:spacing w:after="80" w:before="120" w:line="312"/>
      </w:pPr>
      <w:r>
        <w:rPr>
          <w:rFonts w:ascii="Times New Roman" w:eastAsia="Times New Roman"/>
          <w:b/>
          <w:bCs/>
          <w:color w:val="000000"/>
          <w:sz w:val="24"/>
          <w:szCs w:val="24"/>
        </w:rPr>
        <w:t xml:space="preserve">Distribution &amp; Approval</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tblGrid>
      <w:tr>
        <w:trPr>
          <w:cantSplit/>
          <w:tblHeader/>
        </w:trPr>
        <w:tc>
          <w:tcPr>
            <w:tcW w:type="pct" w:w="2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Name</w:t>
            </w:r>
          </w:p>
        </w:tc>
        <w:tc>
          <w:tcPr>
            <w:tcW w:type="pct" w:w="2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Role</w:t>
            </w:r>
          </w:p>
        </w:tc>
        <w:tc>
          <w:tcPr>
            <w:tcW w:type="pct" w:w="2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Action</w:t>
            </w:r>
          </w:p>
        </w:tc>
        <w:tc>
          <w:tcPr>
            <w:tcW w:type="pct" w:w="2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Date</w:t>
            </w:r>
          </w:p>
        </w:tc>
      </w:tr>
      <w:tr>
        <w:trPr>
          <w:cantSplit/>
        </w:trPr>
        <w:tc>
          <w:tcPr>
            <w:tcW w:type="pct" w:w="28%"/>
            <w:tcMar>
              <w:top w:type="dxa" w:w="60"/>
              <w:left w:type="dxa" w:w="120"/>
              <w:bottom w:type="dxa" w:w="60"/>
              <w:right w:type="dxa" w:w="120"/>
            </w:tcMar>
          </w:tcPr>
          <w:p>
            <w:pPr>
              <w:spacing w:after="0" w:line="312"/>
            </w:pPr>
            <w:r>
              <w:rPr>
                <w:rFonts w:ascii="Times New Roman" w:eastAsia="Times New Roman"/>
                <w:color w:val="000000"/>
                <w:sz w:val="21"/>
                <w:szCs w:val="21"/>
              </w:rPr>
              <w:t xml:space="preserve">【Client Sponsor】</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Product Owner</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Approve</w:t>
            </w:r>
          </w:p>
        </w:tc>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【____/____/____】</w:t>
            </w:r>
          </w:p>
        </w:tc>
      </w:tr>
      <w:tr>
        <w:trPr>
          <w:cantSplit/>
        </w:trPr>
        <w:tc>
          <w:tcPr>
            <w:tcW w:type="pct" w:w="2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【Engineering Lead】</w:t>
            </w:r>
          </w:p>
        </w:tc>
        <w:tc>
          <w:tcPr>
            <w:tcW w:type="pct" w:w="2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Technical Authority</w:t>
            </w:r>
          </w:p>
        </w:tc>
        <w:tc>
          <w:tcPr>
            <w:tcW w:type="pct" w:w="2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Review</w:t>
            </w:r>
          </w:p>
        </w:tc>
        <w:tc>
          <w:tcPr>
            <w:tcW w:type="pct" w:w="2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【____/____/____】</w:t>
            </w:r>
          </w:p>
        </w:tc>
      </w:tr>
      <w:tr>
        <w:trPr>
          <w:cantSplit/>
        </w:trPr>
        <w:tc>
          <w:tcPr>
            <w:tcW w:type="pct" w:w="28%"/>
            <w:tcMar>
              <w:top w:type="dxa" w:w="60"/>
              <w:left w:type="dxa" w:w="120"/>
              <w:bottom w:type="dxa" w:w="60"/>
              <w:right w:type="dxa" w:w="120"/>
            </w:tcMar>
          </w:tcPr>
          <w:p>
            <w:pPr>
              <w:spacing w:after="0" w:line="312"/>
            </w:pPr>
            <w:r>
              <w:rPr>
                <w:rFonts w:ascii="Times New Roman" w:eastAsia="Times New Roman"/>
                <w:color w:val="000000"/>
                <w:sz w:val="21"/>
                <w:szCs w:val="21"/>
              </w:rPr>
              <w:t xml:space="preserve">【Security Officer】</w:t>
            </w:r>
          </w:p>
        </w:tc>
        <w:tc>
          <w:tcPr>
            <w:tcW w:type="pct" w:w="26%"/>
            <w:tcMar>
              <w:top w:type="dxa" w:w="60"/>
              <w:left w:type="dxa" w:w="120"/>
              <w:bottom w:type="dxa" w:w="60"/>
              <w:right w:type="dxa" w:w="120"/>
            </w:tcMar>
          </w:tcPr>
          <w:p>
            <w:pPr>
              <w:spacing w:after="0" w:line="312"/>
            </w:pPr>
            <w:r>
              <w:rPr>
                <w:rFonts w:ascii="Times New Roman" w:eastAsia="Times New Roman"/>
                <w:color w:val="000000"/>
                <w:sz w:val="21"/>
                <w:szCs w:val="21"/>
              </w:rPr>
              <w:t xml:space="preserve">Information Security</w:t>
            </w:r>
          </w:p>
        </w:tc>
        <w:tc>
          <w:tcPr>
            <w:tcW w:type="pct" w:w="24%"/>
            <w:tcMar>
              <w:top w:type="dxa" w:w="60"/>
              <w:left w:type="dxa" w:w="120"/>
              <w:bottom w:type="dxa" w:w="60"/>
              <w:right w:type="dxa" w:w="120"/>
            </w:tcMar>
          </w:tcPr>
          <w:p>
            <w:pPr>
              <w:spacing w:after="0" w:line="312"/>
            </w:pPr>
            <w:r>
              <w:rPr>
                <w:rFonts w:ascii="Times New Roman" w:eastAsia="Times New Roman"/>
                <w:color w:val="000000"/>
                <w:sz w:val="21"/>
                <w:szCs w:val="21"/>
              </w:rPr>
              <w:t xml:space="preserve">Review</w:t>
            </w:r>
          </w:p>
        </w:tc>
        <w:tc>
          <w:tcPr>
            <w:tcW w:type="pct" w:w="22%"/>
            <w:tcMar>
              <w:top w:type="dxa" w:w="60"/>
              <w:left w:type="dxa" w:w="120"/>
              <w:bottom w:type="dxa" w:w="60"/>
              <w:right w:type="dxa" w:w="120"/>
            </w:tcMar>
          </w:tcPr>
          <w:p>
            <w:pPr>
              <w:spacing w:after="0" w:line="312"/>
            </w:pPr>
            <w:r>
              <w:rPr>
                <w:rFonts w:ascii="Times New Roman" w:eastAsia="Times New Roman"/>
                <w:color w:val="000000"/>
                <w:sz w:val="21"/>
                <w:szCs w:val="21"/>
              </w:rPr>
              <w:t xml:space="preserve">【____/____/____】</w:t>
            </w:r>
          </w:p>
        </w:tc>
      </w:tr>
    </w:tbl>
    <w:p>
      <w:pPr>
        <w:pageBreakBefore/>
        <w:spacing w:after="360" w:before="240" w:line="312"/>
        <w:jc w:val="center"/>
      </w:pPr>
      <w:r>
        <w:rPr>
          <w:rFonts w:ascii="Times New Roman" w:eastAsia="Times New Roman"/>
          <w:b/>
          <w:bCs/>
          <w:color w:val="000000"/>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Purpose and Scope</w:t>
            </w:r>
            <w:r>
              <w:tab/>
            </w:r>
            <w:r>
              <w:fldChar w:fldCharType="begin"/>
            </w:r>
            <w:r>
              <w:instrText xml:space="preserve"> PAGEREF _Toc100000 \h </w:instrText>
            </w:r>
            <w:r>
              <w:fldChar w:fldCharType="separate"/>
            </w:r>
            <w:r>
              <w:t>2</w:t>
            </w:r>
            <w:r>
              <w:fldChar w:fldCharType="end"/>
            </w:r>
          </w:hyperlink>
        </w:p>
        <w:p>
          <w:pPr>
            <w:pStyle w:val="9"/>
            <w:tabs>
              <w:tab w:val="right" w:leader="dot" w:pos="9026"/>
            </w:tabs>
            <w:spacing w:before="120" w:after="60"/>
          </w:pPr>
          <w:hyperlink w:anchor="_Toc100001" w:history="1">
            <w:r>
              <w:rPr>
                <w:rStyle w:val="Hyperlink"/>
              </w:rPr>
              <w:t>2. Executive Summary</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Solution at a Glance</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4. Headline Findings</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5. Recommendations Summary</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6. Documentation Suite Overview</w:t>
            </w:r>
            <w:r>
              <w:tab/>
            </w:r>
            <w:r>
              <w:fldChar w:fldCharType="begin"/>
            </w:r>
            <w:r>
              <w:instrText xml:space="preserve"> PAGEREF _Toc100005 \h </w:instrText>
            </w:r>
            <w:r>
              <w:fldChar w:fldCharType="separate"/>
            </w:r>
            <w:r>
              <w:t>4</w:t>
            </w:r>
            <w:r>
              <w:fldChar w:fldCharType="end"/>
            </w:r>
          </w:hyperlink>
        </w:p>
        <w:p>
          <w:r>
            <w:fldChar w:fldCharType="end"/>
          </w:r>
        </w:p>
      </w:sdtContent>
    </w:sdt>
    <w:p>
      <w:pPr>
        <w:spacing w:before="200" w:line="312"/>
      </w:pPr>
      <w:r>
        <w:rPr>
          <w:rFonts w:ascii="Times New Roman" w:eastAsia="Times New Roman"/>
          <w:i/>
          <w:iCs/>
          <w:color w:val="888888"/>
          <w:sz w:val="18"/>
          <w:szCs w:val="18"/>
        </w:rPr>
        <w:t xml:space="preserve">Note: This Table of Contents is generated via field codes. To ensure page number accuracy after editing, please right-click the TOC and select “Update Field.”</w:t>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pPr>
      <w:bookmarkStart w:id="100000" w:name="_Toc100000"/>
      <w:r>
        <w:t xml:space="preserve">1. Purpose and Scope</w:t>
      </w:r>
      <w:bookmarkEnd w:id="100000"/>
    </w:p>
    <w:p>
      <w:pPr>
        <w:spacing w:after="120" w:line="312"/>
        <w:jc w:val="both"/>
      </w:pPr>
      <w:r>
        <w:rPr>
          <w:rFonts w:ascii="Times New Roman" w:eastAsia="Times New Roman"/>
          <w:color w:val="000000"/>
          <w:sz w:val="24"/>
          <w:szCs w:val="24"/>
        </w:rPr>
        <w:t xml:space="preserve">This Executive Summary provides senior stakeholders with a condensed view of the AI Meeting Interpreter solution and the principal findings of the independent technology review performed against the project repository. It is intended to be read in isolation; each subject is elaborated in the companion documents of this deliverable suite.</w:t>
      </w:r>
    </w:p>
    <w:p>
      <w:pPr>
        <w:spacing w:after="120" w:line="312"/>
        <w:jc w:val="both"/>
      </w:pPr>
      <w:r>
        <w:rPr>
          <w:rFonts w:ascii="Times New Roman" w:eastAsia="Times New Roman"/>
          <w:color w:val="000000"/>
          <w:sz w:val="24"/>
          <w:szCs w:val="24"/>
        </w:rPr>
        <w:t xml:space="preserve">The scope of the review comprised a full inspection of the application source code, configuration, dependency manifests, documentation and supporting scripts. Dynamic testing (runtime penetration testing, load testing) was not in scope for this engagement.</w:t>
      </w:r>
    </w:p>
    <w:p>
      <w:pPr>
        <w:pStyle w:val="Heading1"/>
      </w:pPr>
      <w:bookmarkStart w:id="100001" w:name="_Toc100001"/>
      <w:r>
        <w:t xml:space="preserve">2. Executive Summary</w:t>
      </w:r>
      <w:bookmarkEnd w:id="100001"/>
    </w:p>
    <w:p>
      <w:pPr>
        <w:spacing w:after="120" w:line="312"/>
        <w:jc w:val="both"/>
      </w:pPr>
      <w:r>
        <w:rPr>
          <w:rFonts w:ascii="Times New Roman" w:eastAsia="Times New Roman"/>
          <w:color w:val="000000"/>
          <w:sz w:val="24"/>
          <w:szCs w:val="24"/>
        </w:rPr>
        <w:t xml:space="preserve">The AI Meeting Interpreter is a real-time desktop copilot that listens to meetings, transcribes speech with ultra-low latency, and translates complex technical discussion into plain language. It captures combined system audio (WASAPI loopback) and microphone input, streams audio to AssemblyAI for live speech-to-text, and routes the resulting transcript through a four-stage Google Gemini large-language-model pipeline that produces plain-language explanations, chunk significance ratings, extracted decisions, action items with assignees, and suggested replies. Results are presented in a three-pane glassmorphism interface, with optional persistence of meeting history to PostgreSQL.</w:t>
      </w:r>
    </w:p>
    <w:p>
      <w:pPr>
        <w:spacing w:after="120" w:line="312"/>
        <w:jc w:val="both"/>
      </w:pPr>
      <w:r>
        <w:rPr>
          <w:rFonts w:ascii="Times New Roman" w:eastAsia="Times New Roman"/>
          <w:color w:val="000000"/>
          <w:sz w:val="24"/>
          <w:szCs w:val="24"/>
        </w:rPr>
        <w:t xml:space="preserve">The engineering approach is sound and appropriately pragmatic for an early-stage product. A Tauri v2 shell hosts a vanilla TypeScript front end and a Rust audio core; a Node.js sidecar process isolates all third-party API integration. The separation of the real-time audio path (Rust, binary framed IPC) from the AI orchestration path (Node.js, JSON events) is a defensible architectural choice that keeps latency-sensitive code in a systems language while allowing rapid iteration on LLM prompts in JavaScript.</w:t>
      </w:r>
    </w:p>
    <w:p>
      <w:pPr>
        <w:spacing w:after="120" w:line="312"/>
        <w:jc w:val="both"/>
      </w:pPr>
      <w:r>
        <w:rPr>
          <w:rFonts w:ascii="Times New Roman" w:eastAsia="Times New Roman"/>
          <w:color w:val="000000"/>
          <w:sz w:val="24"/>
          <w:szCs w:val="24"/>
        </w:rPr>
        <w:t xml:space="preserve">The review identified one critical security finding: production API keys are committed in plaintext to three test files in the repository. Because these credentials must be treated as compromised, immediate rotation is required. Additional observations concern the absence of automated testing and CI/CD, a null Content Security Policy, and meeting-recording privacy considerations that must be addressed before the product is used in a production or client-facing setting. None of the observations undermine the core architecture; all are remediable with a bounded effort.</w:t>
      </w:r>
    </w:p>
    <w:p>
      <w:pPr>
        <w:pStyle w:val="Heading1"/>
      </w:pPr>
      <w:bookmarkStart w:id="100002" w:name="_Toc100002"/>
      <w:r>
        <w:t xml:space="preserve">3. Solution at a Glance</w:t>
      </w:r>
      <w:bookmarkEnd w:id="100002"/>
    </w:p>
    <w:p>
      <w:pPr>
        <w:spacing w:after="120" w:line="312"/>
        <w:jc w:val="both"/>
      </w:pPr>
      <w:r>
        <w:rPr>
          <w:rFonts w:ascii="Times New Roman" w:eastAsia="Times New Roman"/>
          <w:color w:val="000000"/>
          <w:sz w:val="24"/>
          <w:szCs w:val="24"/>
        </w:rPr>
        <w:t xml:space="preserve">The following table summarises the solution profile as established during the review.</w:t>
      </w:r>
    </w:p>
    <w:p>
      <w:pPr>
        <w:keepNext/>
        <w:spacing w:after="80" w:before="200" w:line="312"/>
      </w:pPr>
      <w:r>
        <w:rPr>
          <w:rFonts w:ascii="Times New Roman" w:eastAsia="Times New Roman"/>
          <w:b/>
          <w:bCs/>
          <w:color w:val="404040"/>
          <w:sz w:val="21"/>
          <w:szCs w:val="21"/>
        </w:rPr>
        <w:t xml:space="preserve">Table 1 — Solution Profile</w:t>
      </w:r>
    </w:p>
    <w:tbl>
      <w:tblPr>
        <w:tblW w:type="pct" w:w="100%"/>
        <w:tblBorders>
          <w:top w:val="single" w:color="000000" w:sz="2"/>
          <w:left w:val="none"/>
          <w:bottom w:val="single" w:color="000000" w:sz="2"/>
          <w:right w:val="none"/>
          <w:insideH w:val="single" w:color="DDD8CC" w:sz="1"/>
          <w:insideV w:val="none"/>
        </w:tblBorders>
      </w:tblPr>
      <w:tblGrid>
        <w:gridCol w:w="100"/>
        <w:gridCol w:w="100"/>
      </w:tblGrid>
      <w:tr>
        <w:trPr>
          <w:cantSplit/>
          <w:tblHeader/>
        </w:trPr>
        <w:tc>
          <w:tcPr>
            <w:tcW w:type="pct" w:w="25%"/>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Dimension</w:t>
            </w:r>
          </w:p>
        </w:tc>
        <w:tc>
          <w:tcPr>
            <w:tcW w:type="pct" w:w="75%"/>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Summary</w:t>
            </w:r>
          </w:p>
        </w:tc>
      </w:tr>
      <w:tr>
        <w:trPr>
          <w:cantSplit/>
        </w:trPr>
        <w:tc>
          <w:tcPr>
            <w:tcW w:type="pct" w:w="25%"/>
            <w:tcMar>
              <w:top w:type="dxa" w:w="60"/>
              <w:left w:type="dxa" w:w="120"/>
              <w:bottom w:type="dxa" w:w="60"/>
              <w:right w:type="dxa" w:w="120"/>
            </w:tcMar>
          </w:tcPr>
          <w:p>
            <w:pPr>
              <w:spacing w:after="0" w:line="312"/>
            </w:pPr>
            <w:r>
              <w:rPr>
                <w:rFonts w:ascii="Times New Roman" w:eastAsia="Times New Roman"/>
                <w:color w:val="000000"/>
                <w:sz w:val="21"/>
                <w:szCs w:val="21"/>
              </w:rPr>
              <w:t xml:space="preserve">Product</w:t>
            </w:r>
          </w:p>
        </w:tc>
        <w:tc>
          <w:tcPr>
            <w:tcW w:type="pct" w:w="75%"/>
            <w:tcMar>
              <w:top w:type="dxa" w:w="60"/>
              <w:left w:type="dxa" w:w="120"/>
              <w:bottom w:type="dxa" w:w="60"/>
              <w:right w:type="dxa" w:w="120"/>
            </w:tcMar>
          </w:tcPr>
          <w:p>
            <w:pPr>
              <w:spacing w:after="0" w:line="312"/>
            </w:pPr>
            <w:r>
              <w:rPr>
                <w:rFonts w:ascii="Times New Roman" w:eastAsia="Times New Roman"/>
                <w:color w:val="000000"/>
                <w:sz w:val="21"/>
                <w:szCs w:val="21"/>
              </w:rPr>
              <w:t xml:space="preserve">AI Meeting Interpreter — real-time meeting transcription and interpretation desktop copilot</w:t>
            </w:r>
          </w:p>
        </w:tc>
      </w:tr>
      <w:tr>
        <w:trPr>
          <w:cantSplit/>
        </w:trPr>
        <w:tc>
          <w:tcPr>
            <w:tcW w:type="pct" w:w="25%"/>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Form factor</w:t>
            </w:r>
          </w:p>
        </w:tc>
        <w:tc>
          <w:tcPr>
            <w:tcW w:type="pct" w:w="75%"/>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Cross-platform desktop application (Windows primary; macOS/Linux supported by Tauri)</w:t>
            </w:r>
          </w:p>
        </w:tc>
      </w:tr>
      <w:tr>
        <w:trPr>
          <w:cantSplit/>
        </w:trPr>
        <w:tc>
          <w:tcPr>
            <w:tcW w:type="pct" w:w="25%"/>
            <w:tcMar>
              <w:top w:type="dxa" w:w="60"/>
              <w:left w:type="dxa" w:w="120"/>
              <w:bottom w:type="dxa" w:w="60"/>
              <w:right w:type="dxa" w:w="120"/>
            </w:tcMar>
          </w:tcPr>
          <w:p>
            <w:pPr>
              <w:spacing w:after="0" w:line="312"/>
            </w:pPr>
            <w:r>
              <w:rPr>
                <w:rFonts w:ascii="Times New Roman" w:eastAsia="Times New Roman"/>
                <w:color w:val="000000"/>
                <w:sz w:val="21"/>
                <w:szCs w:val="21"/>
              </w:rPr>
              <w:t xml:space="preserve">Maturity</w:t>
            </w:r>
          </w:p>
        </w:tc>
        <w:tc>
          <w:tcPr>
            <w:tcW w:type="pct" w:w="75%"/>
            <w:tcMar>
              <w:top w:type="dxa" w:w="60"/>
              <w:left w:type="dxa" w:w="120"/>
              <w:bottom w:type="dxa" w:w="60"/>
              <w:right w:type="dxa" w:w="120"/>
            </w:tcMar>
          </w:tcPr>
          <w:p>
            <w:pPr>
              <w:spacing w:after="0" w:line="312"/>
            </w:pPr>
            <w:r>
              <w:rPr>
                <w:rFonts w:ascii="Times New Roman" w:eastAsia="Times New Roman"/>
                <w:color w:val="000000"/>
                <w:sz w:val="21"/>
                <w:szCs w:val="21"/>
              </w:rPr>
              <w:t xml:space="preserve">Early-stage prototype (v0.1.0); feature-complete happy path, limited hardening</w:t>
            </w:r>
          </w:p>
        </w:tc>
      </w:tr>
      <w:tr>
        <w:trPr>
          <w:cantSplit/>
        </w:trPr>
        <w:tc>
          <w:tcPr>
            <w:tcW w:type="pct" w:w="25%"/>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Core languages</w:t>
            </w:r>
          </w:p>
        </w:tc>
        <w:tc>
          <w:tcPr>
            <w:tcW w:type="pct" w:w="75%"/>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Rust (audio core), TypeScript (UI), JavaScript/Node.js 20+ (AI sidecar)</w:t>
            </w:r>
          </w:p>
        </w:tc>
      </w:tr>
      <w:tr>
        <w:trPr>
          <w:cantSplit/>
        </w:trPr>
        <w:tc>
          <w:tcPr>
            <w:tcW w:type="pct" w:w="25%"/>
            <w:tcMar>
              <w:top w:type="dxa" w:w="60"/>
              <w:left w:type="dxa" w:w="120"/>
              <w:bottom w:type="dxa" w:w="60"/>
              <w:right w:type="dxa" w:w="120"/>
            </w:tcMar>
          </w:tcPr>
          <w:p>
            <w:pPr>
              <w:spacing w:after="0" w:line="312"/>
            </w:pPr>
            <w:r>
              <w:rPr>
                <w:rFonts w:ascii="Times New Roman" w:eastAsia="Times New Roman"/>
                <w:color w:val="000000"/>
                <w:sz w:val="21"/>
                <w:szCs w:val="21"/>
              </w:rPr>
              <w:t xml:space="preserve">Key third parties</w:t>
            </w:r>
          </w:p>
        </w:tc>
        <w:tc>
          <w:tcPr>
            <w:tcW w:type="pct" w:w="75%"/>
            <w:tcMar>
              <w:top w:type="dxa" w:w="60"/>
              <w:left w:type="dxa" w:w="120"/>
              <w:bottom w:type="dxa" w:w="60"/>
              <w:right w:type="dxa" w:w="120"/>
            </w:tcMar>
          </w:tcPr>
          <w:p>
            <w:pPr>
              <w:spacing w:after="0" w:line="312"/>
            </w:pPr>
            <w:r>
              <w:rPr>
                <w:rFonts w:ascii="Times New Roman" w:eastAsia="Times New Roman"/>
                <w:color w:val="000000"/>
                <w:sz w:val="21"/>
                <w:szCs w:val="21"/>
              </w:rPr>
              <w:t xml:space="preserve">AssemblyAI (streaming STT), Google Gemini (LLM analysis), PostgreSQL (optional persistence)</w:t>
            </w:r>
          </w:p>
        </w:tc>
      </w:tr>
      <w:tr>
        <w:trPr>
          <w:cantSplit/>
        </w:trPr>
        <w:tc>
          <w:tcPr>
            <w:tcW w:type="pct" w:w="25%"/>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License</w:t>
            </w:r>
          </w:p>
        </w:tc>
        <w:tc>
          <w:tcPr>
            <w:tcW w:type="pct" w:w="75%"/>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MIT (Copyright 2026)</w:t>
            </w:r>
          </w:p>
        </w:tc>
      </w:tr>
      <w:tr>
        <w:trPr>
          <w:cantSplit/>
        </w:trPr>
        <w:tc>
          <w:tcPr>
            <w:tcW w:type="pct" w:w="25%"/>
            <w:tcMar>
              <w:top w:type="dxa" w:w="60"/>
              <w:left w:type="dxa" w:w="120"/>
              <w:bottom w:type="dxa" w:w="60"/>
              <w:right w:type="dxa" w:w="120"/>
            </w:tcMar>
          </w:tcPr>
          <w:p>
            <w:pPr>
              <w:spacing w:after="0" w:line="312"/>
            </w:pPr>
            <w:r>
              <w:rPr>
                <w:rFonts w:ascii="Times New Roman" w:eastAsia="Times New Roman"/>
                <w:color w:val="000000"/>
                <w:sz w:val="21"/>
                <w:szCs w:val="21"/>
              </w:rPr>
              <w:t xml:space="preserve">Distribution</w:t>
            </w:r>
          </w:p>
        </w:tc>
        <w:tc>
          <w:tcPr>
            <w:tcW w:type="pct" w:w="75%"/>
            <w:tcMar>
              <w:top w:type="dxa" w:w="60"/>
              <w:left w:type="dxa" w:w="120"/>
              <w:bottom w:type="dxa" w:w="60"/>
              <w:right w:type="dxa" w:w="120"/>
            </w:tcMar>
          </w:tcPr>
          <w:p>
            <w:pPr>
              <w:spacing w:after="0" w:line="312"/>
            </w:pPr>
            <w:r>
              <w:rPr>
                <w:rFonts w:ascii="Times New Roman" w:eastAsia="Times New Roman"/>
                <w:color w:val="000000"/>
                <w:sz w:val="21"/>
                <w:szCs w:val="21"/>
              </w:rPr>
              <w:t xml:space="preserve">Local native builds via Tauri bundler (.msi/.exe/.dmg/.deb); no CI/CD pipeline</w:t>
            </w:r>
          </w:p>
        </w:tc>
      </w:tr>
    </w:tbl>
    <w:p>
      <w:pPr>
        <w:pStyle w:val="Heading1"/>
      </w:pPr>
      <w:bookmarkStart w:id="100003" w:name="_Toc100003"/>
      <w:r>
        <w:t xml:space="preserve">4. Headline Findings</w:t>
      </w:r>
      <w:bookmarkEnd w:id="100003"/>
    </w:p>
    <w:p>
      <w:pPr>
        <w:spacing w:after="120" w:line="312"/>
        <w:jc w:val="both"/>
      </w:pPr>
      <w:r>
        <w:rPr>
          <w:rFonts w:ascii="Times New Roman" w:eastAsia="Times New Roman"/>
          <w:color w:val="000000"/>
          <w:sz w:val="24"/>
          <w:szCs w:val="24"/>
        </w:rPr>
        <w:t xml:space="preserve">Findings are rated on a four-level scale: Critical (immediate action required), High (action before production use), Medium (plan for near-term remediation), Low (address as opportunity allows).</w:t>
      </w:r>
    </w:p>
    <w:p>
      <w:pPr>
        <w:keepNext/>
        <w:spacing w:after="80" w:before="200" w:line="312"/>
      </w:pPr>
      <w:r>
        <w:rPr>
          <w:rFonts w:ascii="Times New Roman" w:eastAsia="Times New Roman"/>
          <w:b/>
          <w:bCs/>
          <w:color w:val="404040"/>
          <w:sz w:val="21"/>
          <w:szCs w:val="21"/>
        </w:rPr>
        <w:t xml:space="preserve">Table 2 — Headline Findings</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gridCol w:w="100"/>
      </w:tblGrid>
      <w:tr>
        <w:trPr>
          <w:cantSplit/>
          <w:tblHeader/>
        </w:trPr>
        <w:tc>
          <w:tcPr>
            <w:tcW w:type="pct" w:w="8%"/>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w:t>
            </w:r>
          </w:p>
        </w:tc>
        <w:tc>
          <w:tcPr>
            <w:tcW w:type="pct" w:w="4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Finding</w:t>
            </w:r>
          </w:p>
        </w:tc>
        <w:tc>
          <w:tcPr>
            <w:tcW w:type="pct" w:w="12%"/>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Severity</w:t>
            </w:r>
          </w:p>
        </w:tc>
        <w:tc>
          <w:tcPr>
            <w:tcW w:type="pct" w:w="3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Disposition</w:t>
            </w:r>
          </w:p>
        </w:tc>
      </w:tr>
      <w:tr>
        <w:trPr>
          <w:cantSplit/>
        </w:trPr>
        <w:tc>
          <w:tcPr>
            <w:tcW w:type="pct" w:w="8%"/>
            <w:tcMar>
              <w:top w:type="dxa" w:w="60"/>
              <w:left w:type="dxa" w:w="120"/>
              <w:bottom w:type="dxa" w:w="60"/>
              <w:right w:type="dxa" w:w="120"/>
            </w:tcMar>
          </w:tcPr>
          <w:p>
            <w:pPr>
              <w:spacing w:after="0" w:line="312"/>
            </w:pPr>
            <w:r>
              <w:rPr>
                <w:rFonts w:ascii="Times New Roman" w:eastAsia="Times New Roman"/>
                <w:color w:val="000000"/>
                <w:sz w:val="21"/>
                <w:szCs w:val="21"/>
              </w:rPr>
              <w:t xml:space="preserve">F-01</w:t>
            </w:r>
          </w:p>
        </w:tc>
        <w:tc>
          <w:tcPr>
            <w:tcW w:type="pct" w:w="46%"/>
            <w:tcMar>
              <w:top w:type="dxa" w:w="60"/>
              <w:left w:type="dxa" w:w="120"/>
              <w:bottom w:type="dxa" w:w="60"/>
              <w:right w:type="dxa" w:w="120"/>
            </w:tcMar>
          </w:tcPr>
          <w:p>
            <w:pPr>
              <w:spacing w:after="0" w:line="312"/>
            </w:pPr>
            <w:r>
              <w:rPr>
                <w:rFonts w:ascii="Times New Roman" w:eastAsia="Times New Roman"/>
                <w:color w:val="000000"/>
                <w:sz w:val="21"/>
                <w:szCs w:val="21"/>
              </w:rPr>
              <w:t xml:space="preserve">Hardcoded API keys (AssemblyAI, Gemini) and a database password committed in plaintext in three test files</w:t>
            </w:r>
          </w:p>
        </w:tc>
        <w:tc>
          <w:tcPr>
            <w:tcW w:type="pct" w:w="12%"/>
            <w:tcMar>
              <w:top w:type="dxa" w:w="60"/>
              <w:left w:type="dxa" w:w="120"/>
              <w:bottom w:type="dxa" w:w="60"/>
              <w:right w:type="dxa" w:w="120"/>
            </w:tcMar>
          </w:tcPr>
          <w:p>
            <w:pPr>
              <w:spacing w:after="0" w:line="312"/>
            </w:pPr>
            <w:r>
              <w:rPr>
                <w:rFonts w:ascii="Times New Roman" w:eastAsia="Times New Roman"/>
                <w:color w:val="000000"/>
                <w:sz w:val="21"/>
                <w:szCs w:val="21"/>
              </w:rPr>
              <w:t xml:space="preserve">Critical</w:t>
            </w:r>
          </w:p>
        </w:tc>
        <w:tc>
          <w:tcPr>
            <w:tcW w:type="pct" w:w="34%"/>
            <w:tcMar>
              <w:top w:type="dxa" w:w="60"/>
              <w:left w:type="dxa" w:w="120"/>
              <w:bottom w:type="dxa" w:w="60"/>
              <w:right w:type="dxa" w:w="120"/>
            </w:tcMar>
          </w:tcPr>
          <w:p>
            <w:pPr>
              <w:spacing w:after="0" w:line="312"/>
            </w:pPr>
            <w:r>
              <w:rPr>
                <w:rFonts w:ascii="Times New Roman" w:eastAsia="Times New Roman"/>
                <w:color w:val="000000"/>
                <w:sz w:val="21"/>
                <w:szCs w:val="21"/>
              </w:rPr>
              <w:t xml:space="preserve">Rotate keys immediately; purge or refactor test files; add pre-commit secret scanning</w:t>
            </w:r>
          </w:p>
        </w:tc>
      </w:tr>
      <w:tr>
        <w:trPr>
          <w:cantSplit/>
        </w:trPr>
        <w:tc>
          <w:tcPr>
            <w:tcW w:type="pct" w:w="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F-02</w:t>
            </w:r>
          </w:p>
        </w:tc>
        <w:tc>
          <w:tcPr>
            <w:tcW w:type="pct" w:w="4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No automated tests of any kind; the gateway test script is a failing placeholder stub</w:t>
            </w:r>
          </w:p>
        </w:tc>
        <w:tc>
          <w:tcPr>
            <w:tcW w:type="pct" w:w="1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High</w:t>
            </w:r>
          </w:p>
        </w:tc>
        <w:tc>
          <w:tcPr>
            <w:tcW w:type="pct" w:w="3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Adopt a test framework per document AMI-QTS-007 and establish a baseline suite</w:t>
            </w:r>
          </w:p>
        </w:tc>
      </w:tr>
      <w:tr>
        <w:trPr>
          <w:cantSplit/>
        </w:trPr>
        <w:tc>
          <w:tcPr>
            <w:tcW w:type="pct" w:w="8%"/>
            <w:tcMar>
              <w:top w:type="dxa" w:w="60"/>
              <w:left w:type="dxa" w:w="120"/>
              <w:bottom w:type="dxa" w:w="60"/>
              <w:right w:type="dxa" w:w="120"/>
            </w:tcMar>
          </w:tcPr>
          <w:p>
            <w:pPr>
              <w:spacing w:after="0" w:line="312"/>
            </w:pPr>
            <w:r>
              <w:rPr>
                <w:rFonts w:ascii="Times New Roman" w:eastAsia="Times New Roman"/>
                <w:color w:val="000000"/>
                <w:sz w:val="21"/>
                <w:szCs w:val="21"/>
              </w:rPr>
              <w:t xml:space="preserve">F-03</w:t>
            </w:r>
          </w:p>
        </w:tc>
        <w:tc>
          <w:tcPr>
            <w:tcW w:type="pct" w:w="46%"/>
            <w:tcMar>
              <w:top w:type="dxa" w:w="60"/>
              <w:left w:type="dxa" w:w="120"/>
              <w:bottom w:type="dxa" w:w="60"/>
              <w:right w:type="dxa" w:w="120"/>
            </w:tcMar>
          </w:tcPr>
          <w:p>
            <w:pPr>
              <w:spacing w:after="0" w:line="312"/>
            </w:pPr>
            <w:r>
              <w:rPr>
                <w:rFonts w:ascii="Times New Roman" w:eastAsia="Times New Roman"/>
                <w:color w:val="000000"/>
                <w:sz w:val="21"/>
                <w:szCs w:val="21"/>
              </w:rPr>
              <w:t xml:space="preserve">Content Security Policy disabled (csp: null) with global Tauri API enabled in the webview</w:t>
            </w:r>
          </w:p>
        </w:tc>
        <w:tc>
          <w:tcPr>
            <w:tcW w:type="pct" w:w="12%"/>
            <w:tcMar>
              <w:top w:type="dxa" w:w="60"/>
              <w:left w:type="dxa" w:w="120"/>
              <w:bottom w:type="dxa" w:w="60"/>
              <w:right w:type="dxa" w:w="120"/>
            </w:tcMar>
          </w:tcPr>
          <w:p>
            <w:pPr>
              <w:spacing w:after="0" w:line="312"/>
            </w:pPr>
            <w:r>
              <w:rPr>
                <w:rFonts w:ascii="Times New Roman" w:eastAsia="Times New Roman"/>
                <w:color w:val="000000"/>
                <w:sz w:val="21"/>
                <w:szCs w:val="21"/>
              </w:rPr>
              <w:t xml:space="preserve">High</w:t>
            </w:r>
          </w:p>
        </w:tc>
        <w:tc>
          <w:tcPr>
            <w:tcW w:type="pct" w:w="34%"/>
            <w:tcMar>
              <w:top w:type="dxa" w:w="60"/>
              <w:left w:type="dxa" w:w="120"/>
              <w:bottom w:type="dxa" w:w="60"/>
              <w:right w:type="dxa" w:w="120"/>
            </w:tcMar>
          </w:tcPr>
          <w:p>
            <w:pPr>
              <w:spacing w:after="0" w:line="312"/>
            </w:pPr>
            <w:r>
              <w:rPr>
                <w:rFonts w:ascii="Times New Roman" w:eastAsia="Times New Roman"/>
                <w:color w:val="000000"/>
                <w:sz w:val="21"/>
                <w:szCs w:val="21"/>
              </w:rPr>
              <w:t xml:space="preserve">Define a restrictive CSP and disable withGlobalTauri before production</w:t>
            </w:r>
          </w:p>
        </w:tc>
      </w:tr>
      <w:tr>
        <w:trPr>
          <w:cantSplit/>
        </w:trPr>
        <w:tc>
          <w:tcPr>
            <w:tcW w:type="pct" w:w="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F-04</w:t>
            </w:r>
          </w:p>
        </w:tc>
        <w:tc>
          <w:tcPr>
            <w:tcW w:type="pct" w:w="4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The product captures and transcribes all system audio; no consent, retention or privacy controls exist</w:t>
            </w:r>
          </w:p>
        </w:tc>
        <w:tc>
          <w:tcPr>
            <w:tcW w:type="pct" w:w="1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High</w:t>
            </w:r>
          </w:p>
        </w:tc>
        <w:tc>
          <w:tcPr>
            <w:tcW w:type="pct" w:w="3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Implement consent workflow, retention policy and disclosure guidance</w:t>
            </w:r>
          </w:p>
        </w:tc>
      </w:tr>
      <w:tr>
        <w:trPr>
          <w:cantSplit/>
        </w:trPr>
        <w:tc>
          <w:tcPr>
            <w:tcW w:type="pct" w:w="8%"/>
            <w:tcMar>
              <w:top w:type="dxa" w:w="60"/>
              <w:left w:type="dxa" w:w="120"/>
              <w:bottom w:type="dxa" w:w="60"/>
              <w:right w:type="dxa" w:w="120"/>
            </w:tcMar>
          </w:tcPr>
          <w:p>
            <w:pPr>
              <w:spacing w:after="0" w:line="312"/>
            </w:pPr>
            <w:r>
              <w:rPr>
                <w:rFonts w:ascii="Times New Roman" w:eastAsia="Times New Roman"/>
                <w:color w:val="000000"/>
                <w:sz w:val="21"/>
                <w:szCs w:val="21"/>
              </w:rPr>
              <w:t xml:space="preserve">F-05</w:t>
            </w:r>
          </w:p>
        </w:tc>
        <w:tc>
          <w:tcPr>
            <w:tcW w:type="pct" w:w="46%"/>
            <w:tcMar>
              <w:top w:type="dxa" w:w="60"/>
              <w:left w:type="dxa" w:w="120"/>
              <w:bottom w:type="dxa" w:w="60"/>
              <w:right w:type="dxa" w:w="120"/>
            </w:tcMar>
          </w:tcPr>
          <w:p>
            <w:pPr>
              <w:spacing w:after="0" w:line="312"/>
            </w:pPr>
            <w:r>
              <w:rPr>
                <w:rFonts w:ascii="Times New Roman" w:eastAsia="Times New Roman"/>
                <w:color w:val="000000"/>
                <w:sz w:val="21"/>
                <w:szCs w:val="21"/>
              </w:rPr>
              <w:t xml:space="preserve">No CI/CD pipeline and no containerised or scripted environment; builds are manual and developer-laptop dependent</w:t>
            </w:r>
          </w:p>
        </w:tc>
        <w:tc>
          <w:tcPr>
            <w:tcW w:type="pct" w:w="12%"/>
            <w:tcMar>
              <w:top w:type="dxa" w:w="60"/>
              <w:left w:type="dxa" w:w="120"/>
              <w:bottom w:type="dxa" w:w="60"/>
              <w:right w:type="dxa" w:w="120"/>
            </w:tcMar>
          </w:tcPr>
          <w:p>
            <w:pPr>
              <w:spacing w:after="0" w:line="312"/>
            </w:pPr>
            <w:r>
              <w:rPr>
                <w:rFonts w:ascii="Times New Roman" w:eastAsia="Times New Roman"/>
                <w:color w:val="000000"/>
                <w:sz w:val="21"/>
                <w:szCs w:val="21"/>
              </w:rPr>
              <w:t xml:space="preserve">Medium</w:t>
            </w:r>
          </w:p>
        </w:tc>
        <w:tc>
          <w:tcPr>
            <w:tcW w:type="pct" w:w="34%"/>
            <w:tcMar>
              <w:top w:type="dxa" w:w="60"/>
              <w:left w:type="dxa" w:w="120"/>
              <w:bottom w:type="dxa" w:w="60"/>
              <w:right w:type="dxa" w:w="120"/>
            </w:tcMar>
          </w:tcPr>
          <w:p>
            <w:pPr>
              <w:spacing w:after="0" w:line="312"/>
            </w:pPr>
            <w:r>
              <w:rPr>
                <w:rFonts w:ascii="Times New Roman" w:eastAsia="Times New Roman"/>
                <w:color w:val="000000"/>
                <w:sz w:val="21"/>
                <w:szCs w:val="21"/>
              </w:rPr>
              <w:t xml:space="preserve">Stand up a build-and-test pipeline per the Quality &amp; Test Strategy</w:t>
            </w:r>
          </w:p>
        </w:tc>
      </w:tr>
      <w:tr>
        <w:trPr>
          <w:cantSplit/>
        </w:trPr>
        <w:tc>
          <w:tcPr>
            <w:tcW w:type="pct" w:w="8%"/>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F-06</w:t>
            </w:r>
          </w:p>
        </w:tc>
        <w:tc>
          <w:tcPr>
            <w:tcW w:type="pct" w:w="4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README references a blueprint file (brain.md) that does not exist; product naming still generic (tauri-app)</w:t>
            </w:r>
          </w:p>
        </w:tc>
        <w:tc>
          <w:tcPr>
            <w:tcW w:type="pct" w:w="12%"/>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Low</w:t>
            </w:r>
          </w:p>
        </w:tc>
        <w:tc>
          <w:tcPr>
            <w:tcW w:type="pct" w:w="3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Correct documentation references and complete product identity</w:t>
            </w:r>
          </w:p>
        </w:tc>
      </w:tr>
    </w:tbl>
    <w:p>
      <w:pPr>
        <w:pStyle w:val="Heading1"/>
      </w:pPr>
      <w:bookmarkStart w:id="100004" w:name="_Toc100004"/>
      <w:r>
        <w:t xml:space="preserve">5. Recommendations Summary</w:t>
      </w:r>
      <w:bookmarkEnd w:id="100004"/>
    </w:p>
    <w:p>
      <w:pPr>
        <w:spacing w:after="120" w:line="312"/>
        <w:jc w:val="both"/>
      </w:pPr>
      <w:r>
        <w:rPr>
          <w:rFonts w:ascii="Times New Roman" w:eastAsia="Times New Roman"/>
          <w:color w:val="000000"/>
          <w:sz w:val="24"/>
          <w:szCs w:val="24"/>
        </w:rPr>
        <w:t xml:space="preserve">Recommendations are sequenced by urgency. Full implementation guidance is contained in the specialist documents of this suite.</w:t>
      </w:r>
    </w:p>
    <w:p>
      <w:pPr>
        <w:pStyle w:val="ListParagraph"/>
        <w:numPr>
          <w:ilvl w:val="0"/>
          <w:numId w:val="1"/>
        </w:numPr>
        <w:spacing w:after="60" w:line="312"/>
      </w:pPr>
      <w:r>
        <w:rPr>
          <w:rFonts w:ascii="Times New Roman" w:eastAsia="Times New Roman"/>
          <w:b/>
          <w:bCs/>
          <w:color w:val="000000"/>
          <w:sz w:val="24"/>
          <w:szCs w:val="24"/>
        </w:rPr>
        <w:t xml:space="preserve">Immediate (this week): </w:t>
      </w:r>
      <w:r>
        <w:rPr>
          <w:rFonts w:ascii="Times New Roman" w:eastAsia="Times New Roman"/>
          <w:color w:val="000000"/>
          <w:sz w:val="24"/>
          <w:szCs w:val="24"/>
        </w:rPr>
        <w:t xml:space="preserve">Rotate the exposed AssemblyAI and Gemini API keys and any database credentials appearing in committed test files; remove the keys from version control history or accept the rotation as mitigation.</w:t>
      </w:r>
    </w:p>
    <w:p>
      <w:pPr>
        <w:pStyle w:val="ListParagraph"/>
        <w:numPr>
          <w:ilvl w:val="0"/>
          <w:numId w:val="1"/>
        </w:numPr>
        <w:spacing w:after="60" w:line="312"/>
      </w:pPr>
      <w:r>
        <w:rPr>
          <w:rFonts w:ascii="Times New Roman" w:eastAsia="Times New Roman"/>
          <w:b/>
          <w:bCs/>
          <w:color w:val="000000"/>
          <w:sz w:val="24"/>
          <w:szCs w:val="24"/>
        </w:rPr>
        <w:t xml:space="preserve">Before production use: </w:t>
      </w:r>
      <w:r>
        <w:rPr>
          <w:rFonts w:ascii="Times New Roman" w:eastAsia="Times New Roman"/>
          <w:color w:val="000000"/>
          <w:sz w:val="24"/>
          <w:szCs w:val="24"/>
        </w:rPr>
        <w:t xml:space="preserve">Introduce automated testing, a restrictive Content Security Policy, a consent and privacy notice for meeting recording, and structured environment-variable handling for secrets.</w:t>
      </w:r>
    </w:p>
    <w:p>
      <w:pPr>
        <w:pStyle w:val="ListParagraph"/>
        <w:numPr>
          <w:ilvl w:val="0"/>
          <w:numId w:val="1"/>
        </w:numPr>
        <w:spacing w:after="60" w:line="312"/>
      </w:pPr>
      <w:r>
        <w:rPr>
          <w:rFonts w:ascii="Times New Roman" w:eastAsia="Times New Roman"/>
          <w:b/>
          <w:bCs/>
          <w:color w:val="000000"/>
          <w:sz w:val="24"/>
          <w:szCs w:val="24"/>
        </w:rPr>
        <w:t xml:space="preserve">Near term (one quarter): </w:t>
      </w:r>
      <w:r>
        <w:rPr>
          <w:rFonts w:ascii="Times New Roman" w:eastAsia="Times New Roman"/>
          <w:color w:val="000000"/>
          <w:sz w:val="24"/>
          <w:szCs w:val="24"/>
        </w:rPr>
        <w:t xml:space="preserve">Stand up continuous integration with lint, build and test stages; complete the documentation set (restore or remove the referenced blueprint); formalise vendor cost monitoring.</w:t>
      </w:r>
    </w:p>
    <w:p>
      <w:pPr>
        <w:pStyle w:val="ListParagraph"/>
        <w:numPr>
          <w:ilvl w:val="0"/>
          <w:numId w:val="1"/>
        </w:numPr>
        <w:spacing w:after="60" w:line="312"/>
      </w:pPr>
      <w:r>
        <w:rPr>
          <w:rFonts w:ascii="Times New Roman" w:eastAsia="Times New Roman"/>
          <w:b/>
          <w:bCs/>
          <w:color w:val="000000"/>
          <w:sz w:val="24"/>
          <w:szCs w:val="24"/>
        </w:rPr>
        <w:t xml:space="preserve">Ongoing: </w:t>
      </w:r>
      <w:r>
        <w:rPr>
          <w:rFonts w:ascii="Times New Roman" w:eastAsia="Times New Roman"/>
          <w:color w:val="000000"/>
          <w:sz w:val="24"/>
          <w:szCs w:val="24"/>
        </w:rPr>
        <w:t xml:space="preserve">Adopt the 30/60/90-day roadmap in the Project Status &amp; RAID Report (AMI-RAI-010) and track risks, issues and dependencies through it.</w:t>
      </w:r>
    </w:p>
    <w:p>
      <w:pPr>
        <w:pStyle w:val="Heading1"/>
      </w:pPr>
      <w:bookmarkStart w:id="100005" w:name="_Toc100005"/>
      <w:r>
        <w:t xml:space="preserve">6. Documentation Suite Overview</w:t>
      </w:r>
      <w:bookmarkEnd w:id="100005"/>
    </w:p>
    <w:p>
      <w:pPr>
        <w:spacing w:after="120" w:line="312"/>
        <w:jc w:val="both"/>
      </w:pPr>
      <w:r>
        <w:rPr>
          <w:rFonts w:ascii="Times New Roman" w:eastAsia="Times New Roman"/>
          <w:color w:val="000000"/>
          <w:sz w:val="24"/>
          <w:szCs w:val="24"/>
        </w:rPr>
        <w:t xml:space="preserve">This Executive Summary is one of ten deliverables produced for the engagement. The complete suite is listed below; each document is self-contained and cross-references the others where appropriate.</w:t>
      </w:r>
    </w:p>
    <w:p>
      <w:pPr>
        <w:keepNext/>
        <w:spacing w:after="80" w:before="200" w:line="312"/>
      </w:pPr>
      <w:r>
        <w:rPr>
          <w:rFonts w:ascii="Times New Roman" w:eastAsia="Times New Roman"/>
          <w:b/>
          <w:bCs/>
          <w:color w:val="404040"/>
          <w:sz w:val="21"/>
          <w:szCs w:val="21"/>
        </w:rPr>
        <w:t xml:space="preserve">Table 3 — Deliverable Suite</w:t>
      </w:r>
    </w:p>
    <w:tbl>
      <w:tblPr>
        <w:tblW w:type="pct" w:w="100%"/>
        <w:tblBorders>
          <w:top w:val="single" w:color="000000" w:sz="2"/>
          <w:left w:val="none"/>
          <w:bottom w:val="single" w:color="000000" w:sz="2"/>
          <w:right w:val="none"/>
          <w:insideH w:val="single" w:color="DDD8CC" w:sz="1"/>
          <w:insideV w:val="none"/>
        </w:tblBorders>
      </w:tblPr>
      <w:tblGrid>
        <w:gridCol w:w="100"/>
        <w:gridCol w:w="100"/>
        <w:gridCol w:w="100"/>
      </w:tblGrid>
      <w:tr>
        <w:trPr>
          <w:cantSplit/>
          <w:tblHeader/>
        </w:trPr>
        <w:tc>
          <w:tcPr>
            <w:tcW w:type="pct" w:w="16%"/>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Identifier</w:t>
            </w:r>
          </w:p>
        </w:tc>
        <w:tc>
          <w:tcPr>
            <w:tcW w:type="pct" w:w="44%"/>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Document</w:t>
            </w:r>
          </w:p>
        </w:tc>
        <w:tc>
          <w:tcPr>
            <w:tcW w:type="pct" w:w="40%"/>
            <w:shd w:fill="D6C096" w:val="clear"/>
            <w:tcMar>
              <w:top w:type="dxa" w:w="60"/>
              <w:left w:type="dxa" w:w="120"/>
              <w:bottom w:type="dxa" w:w="60"/>
              <w:right w:type="dxa" w:w="120"/>
            </w:tcMar>
          </w:tcPr>
          <w:p>
            <w:pPr>
              <w:spacing w:line="312"/>
            </w:pPr>
            <w:r>
              <w:rPr>
                <w:rFonts w:ascii="Times New Roman" w:eastAsia="Times New Roman"/>
                <w:b/>
                <w:bCs/>
                <w:color w:val="1A1A1A"/>
                <w:sz w:val="21"/>
                <w:szCs w:val="21"/>
              </w:rPr>
              <w:t xml:space="preserve">Primary Audience</w:t>
            </w:r>
          </w:p>
        </w:tc>
      </w:tr>
      <w:tr>
        <w:trPr>
          <w:cantSplit/>
        </w:trPr>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AMI-EXE-001</w:t>
            </w:r>
          </w:p>
        </w:tc>
        <w:tc>
          <w:tcPr>
            <w:tcW w:type="pct" w:w="44%"/>
            <w:tcMar>
              <w:top w:type="dxa" w:w="60"/>
              <w:left w:type="dxa" w:w="120"/>
              <w:bottom w:type="dxa" w:w="60"/>
              <w:right w:type="dxa" w:w="120"/>
            </w:tcMar>
          </w:tcPr>
          <w:p>
            <w:pPr>
              <w:spacing w:after="0" w:line="312"/>
            </w:pPr>
            <w:r>
              <w:rPr>
                <w:rFonts w:ascii="Times New Roman" w:eastAsia="Times New Roman"/>
                <w:color w:val="000000"/>
                <w:sz w:val="21"/>
                <w:szCs w:val="21"/>
              </w:rPr>
              <w:t xml:space="preserve">Executive Summary</w:t>
            </w:r>
          </w:p>
        </w:tc>
        <w:tc>
          <w:tcPr>
            <w:tcW w:type="pct" w:w="40%"/>
            <w:tcMar>
              <w:top w:type="dxa" w:w="60"/>
              <w:left w:type="dxa" w:w="120"/>
              <w:bottom w:type="dxa" w:w="60"/>
              <w:right w:type="dxa" w:w="120"/>
            </w:tcMar>
          </w:tcPr>
          <w:p>
            <w:pPr>
              <w:spacing w:after="0" w:line="312"/>
            </w:pPr>
            <w:r>
              <w:rPr>
                <w:rFonts w:ascii="Times New Roman" w:eastAsia="Times New Roman"/>
                <w:color w:val="000000"/>
                <w:sz w:val="21"/>
                <w:szCs w:val="21"/>
              </w:rPr>
              <w:t xml:space="preserve">Sponsors and senior stakeholders</w:t>
            </w:r>
          </w:p>
        </w:tc>
      </w:tr>
      <w:tr>
        <w:trPr>
          <w:cantSplit/>
        </w:trPr>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AMI-ARC-002</w:t>
            </w:r>
          </w:p>
        </w:tc>
        <w:tc>
          <w:tcPr>
            <w:tcW w:type="pct" w:w="4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Solution Architecture Document</w:t>
            </w:r>
          </w:p>
        </w:tc>
        <w:tc>
          <w:tcPr>
            <w:tcW w:type="pct" w:w="4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Architects and engineering leadership</w:t>
            </w:r>
          </w:p>
        </w:tc>
      </w:tr>
      <w:tr>
        <w:trPr>
          <w:cantSplit/>
        </w:trPr>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AMI-FSD-003</w:t>
            </w:r>
          </w:p>
        </w:tc>
        <w:tc>
          <w:tcPr>
            <w:tcW w:type="pct" w:w="44%"/>
            <w:tcMar>
              <w:top w:type="dxa" w:w="60"/>
              <w:left w:type="dxa" w:w="120"/>
              <w:bottom w:type="dxa" w:w="60"/>
              <w:right w:type="dxa" w:w="120"/>
            </w:tcMar>
          </w:tcPr>
          <w:p>
            <w:pPr>
              <w:spacing w:after="0" w:line="312"/>
            </w:pPr>
            <w:r>
              <w:rPr>
                <w:rFonts w:ascii="Times New Roman" w:eastAsia="Times New Roman"/>
                <w:color w:val="000000"/>
                <w:sz w:val="21"/>
                <w:szCs w:val="21"/>
              </w:rPr>
              <w:t xml:space="preserve">Functional Specification</w:t>
            </w:r>
          </w:p>
        </w:tc>
        <w:tc>
          <w:tcPr>
            <w:tcW w:type="pct" w:w="40%"/>
            <w:tcMar>
              <w:top w:type="dxa" w:w="60"/>
              <w:left w:type="dxa" w:w="120"/>
              <w:bottom w:type="dxa" w:w="60"/>
              <w:right w:type="dxa" w:w="120"/>
            </w:tcMar>
          </w:tcPr>
          <w:p>
            <w:pPr>
              <w:spacing w:after="0" w:line="312"/>
            </w:pPr>
            <w:r>
              <w:rPr>
                <w:rFonts w:ascii="Times New Roman" w:eastAsia="Times New Roman"/>
                <w:color w:val="000000"/>
                <w:sz w:val="21"/>
                <w:szCs w:val="21"/>
              </w:rPr>
              <w:t xml:space="preserve">Product owners, designers, QA</w:t>
            </w:r>
          </w:p>
        </w:tc>
      </w:tr>
      <w:tr>
        <w:trPr>
          <w:cantSplit/>
        </w:trPr>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AMI-TDD-004</w:t>
            </w:r>
          </w:p>
        </w:tc>
        <w:tc>
          <w:tcPr>
            <w:tcW w:type="pct" w:w="4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Technical Design Document</w:t>
            </w:r>
          </w:p>
        </w:tc>
        <w:tc>
          <w:tcPr>
            <w:tcW w:type="pct" w:w="4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Software engineers</w:t>
            </w:r>
          </w:p>
        </w:tc>
      </w:tr>
      <w:tr>
        <w:trPr>
          <w:cantSplit/>
        </w:trPr>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AMI-DAI-005</w:t>
            </w:r>
          </w:p>
        </w:tc>
        <w:tc>
          <w:tcPr>
            <w:tcW w:type="pct" w:w="44%"/>
            <w:tcMar>
              <w:top w:type="dxa" w:w="60"/>
              <w:left w:type="dxa" w:w="120"/>
              <w:bottom w:type="dxa" w:w="60"/>
              <w:right w:type="dxa" w:w="120"/>
            </w:tcMar>
          </w:tcPr>
          <w:p>
            <w:pPr>
              <w:spacing w:after="0" w:line="312"/>
            </w:pPr>
            <w:r>
              <w:rPr>
                <w:rFonts w:ascii="Times New Roman" w:eastAsia="Times New Roman"/>
                <w:color w:val="000000"/>
                <w:sz w:val="21"/>
                <w:szCs w:val="21"/>
              </w:rPr>
              <w:t xml:space="preserve">Data Architecture &amp; Interface Specification</w:t>
            </w:r>
          </w:p>
        </w:tc>
        <w:tc>
          <w:tcPr>
            <w:tcW w:type="pct" w:w="40%"/>
            <w:tcMar>
              <w:top w:type="dxa" w:w="60"/>
              <w:left w:type="dxa" w:w="120"/>
              <w:bottom w:type="dxa" w:w="60"/>
              <w:right w:type="dxa" w:w="120"/>
            </w:tcMar>
          </w:tcPr>
          <w:p>
            <w:pPr>
              <w:spacing w:after="0" w:line="312"/>
            </w:pPr>
            <w:r>
              <w:rPr>
                <w:rFonts w:ascii="Times New Roman" w:eastAsia="Times New Roman"/>
                <w:color w:val="000000"/>
                <w:sz w:val="21"/>
                <w:szCs w:val="21"/>
              </w:rPr>
              <w:t xml:space="preserve">Integration engineers, DBAs</w:t>
            </w:r>
          </w:p>
        </w:tc>
      </w:tr>
      <w:tr>
        <w:trPr>
          <w:cantSplit/>
        </w:trPr>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AMI-SEC-006</w:t>
            </w:r>
          </w:p>
        </w:tc>
        <w:tc>
          <w:tcPr>
            <w:tcW w:type="pct" w:w="4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Security Assessment</w:t>
            </w:r>
          </w:p>
        </w:tc>
        <w:tc>
          <w:tcPr>
            <w:tcW w:type="pct" w:w="4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Security officers, risk &amp; compliance</w:t>
            </w:r>
          </w:p>
        </w:tc>
      </w:tr>
      <w:tr>
        <w:trPr>
          <w:cantSplit/>
        </w:trPr>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AMI-QTS-007</w:t>
            </w:r>
          </w:p>
        </w:tc>
        <w:tc>
          <w:tcPr>
            <w:tcW w:type="pct" w:w="44%"/>
            <w:tcMar>
              <w:top w:type="dxa" w:w="60"/>
              <w:left w:type="dxa" w:w="120"/>
              <w:bottom w:type="dxa" w:w="60"/>
              <w:right w:type="dxa" w:w="120"/>
            </w:tcMar>
          </w:tcPr>
          <w:p>
            <w:pPr>
              <w:spacing w:after="0" w:line="312"/>
            </w:pPr>
            <w:r>
              <w:rPr>
                <w:rFonts w:ascii="Times New Roman" w:eastAsia="Times New Roman"/>
                <w:color w:val="000000"/>
                <w:sz w:val="21"/>
                <w:szCs w:val="21"/>
              </w:rPr>
              <w:t xml:space="preserve">Quality &amp; Test Strategy</w:t>
            </w:r>
          </w:p>
        </w:tc>
        <w:tc>
          <w:tcPr>
            <w:tcW w:type="pct" w:w="40%"/>
            <w:tcMar>
              <w:top w:type="dxa" w:w="60"/>
              <w:left w:type="dxa" w:w="120"/>
              <w:bottom w:type="dxa" w:w="60"/>
              <w:right w:type="dxa" w:w="120"/>
            </w:tcMar>
          </w:tcPr>
          <w:p>
            <w:pPr>
              <w:spacing w:after="0" w:line="312"/>
            </w:pPr>
            <w:r>
              <w:rPr>
                <w:rFonts w:ascii="Times New Roman" w:eastAsia="Times New Roman"/>
                <w:color w:val="000000"/>
                <w:sz w:val="21"/>
                <w:szCs w:val="21"/>
              </w:rPr>
              <w:t xml:space="preserve">QA leads, DevOps</w:t>
            </w:r>
          </w:p>
        </w:tc>
      </w:tr>
      <w:tr>
        <w:trPr>
          <w:cantSplit/>
        </w:trPr>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AMI-DEP-008</w:t>
            </w:r>
          </w:p>
        </w:tc>
        <w:tc>
          <w:tcPr>
            <w:tcW w:type="pct" w:w="4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Deployment &amp; Operations Runbook</w:t>
            </w:r>
          </w:p>
        </w:tc>
        <w:tc>
          <w:tcPr>
            <w:tcW w:type="pct" w:w="4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Operations and support engineers</w:t>
            </w:r>
          </w:p>
        </w:tc>
      </w:tr>
      <w:tr>
        <w:trPr>
          <w:cantSplit/>
        </w:trPr>
        <w:tc>
          <w:tcPr>
            <w:tcW w:type="pct" w:w="16%"/>
            <w:tcMar>
              <w:top w:type="dxa" w:w="60"/>
              <w:left w:type="dxa" w:w="120"/>
              <w:bottom w:type="dxa" w:w="60"/>
              <w:right w:type="dxa" w:w="120"/>
            </w:tcMar>
          </w:tcPr>
          <w:p>
            <w:pPr>
              <w:spacing w:after="0" w:line="312"/>
            </w:pPr>
            <w:r>
              <w:rPr>
                <w:rFonts w:ascii="Times New Roman" w:eastAsia="Times New Roman"/>
                <w:color w:val="000000"/>
                <w:sz w:val="21"/>
                <w:szCs w:val="21"/>
              </w:rPr>
              <w:t xml:space="preserve">AMI-VCA-009</w:t>
            </w:r>
          </w:p>
        </w:tc>
        <w:tc>
          <w:tcPr>
            <w:tcW w:type="pct" w:w="44%"/>
            <w:tcMar>
              <w:top w:type="dxa" w:w="60"/>
              <w:left w:type="dxa" w:w="120"/>
              <w:bottom w:type="dxa" w:w="60"/>
              <w:right w:type="dxa" w:w="120"/>
            </w:tcMar>
          </w:tcPr>
          <w:p>
            <w:pPr>
              <w:spacing w:after="0" w:line="312"/>
            </w:pPr>
            <w:r>
              <w:rPr>
                <w:rFonts w:ascii="Times New Roman" w:eastAsia="Times New Roman"/>
                <w:color w:val="000000"/>
                <w:sz w:val="21"/>
                <w:szCs w:val="21"/>
              </w:rPr>
              <w:t xml:space="preserve">Vendor &amp; Cost Analysis</w:t>
            </w:r>
          </w:p>
        </w:tc>
        <w:tc>
          <w:tcPr>
            <w:tcW w:type="pct" w:w="40%"/>
            <w:tcMar>
              <w:top w:type="dxa" w:w="60"/>
              <w:left w:type="dxa" w:w="120"/>
              <w:bottom w:type="dxa" w:w="60"/>
              <w:right w:type="dxa" w:w="120"/>
            </w:tcMar>
          </w:tcPr>
          <w:p>
            <w:pPr>
              <w:spacing w:after="0" w:line="312"/>
            </w:pPr>
            <w:r>
              <w:rPr>
                <w:rFonts w:ascii="Times New Roman" w:eastAsia="Times New Roman"/>
                <w:color w:val="000000"/>
                <w:sz w:val="21"/>
                <w:szCs w:val="21"/>
              </w:rPr>
              <w:t xml:space="preserve">Finance, procurement, engineering</w:t>
            </w:r>
          </w:p>
        </w:tc>
      </w:tr>
      <w:tr>
        <w:trPr>
          <w:cantSplit/>
        </w:trPr>
        <w:tc>
          <w:tcPr>
            <w:tcW w:type="pct" w:w="16%"/>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AMI-RAI-010</w:t>
            </w:r>
          </w:p>
        </w:tc>
        <w:tc>
          <w:tcPr>
            <w:tcW w:type="pct" w:w="44%"/>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Project Status &amp; RAID Report</w:t>
            </w:r>
          </w:p>
        </w:tc>
        <w:tc>
          <w:tcPr>
            <w:tcW w:type="pct" w:w="40%"/>
            <w:shd w:fill="F5F3ED" w:val="clear"/>
            <w:tcMar>
              <w:top w:type="dxa" w:w="60"/>
              <w:left w:type="dxa" w:w="120"/>
              <w:bottom w:type="dxa" w:w="60"/>
              <w:right w:type="dxa" w:w="120"/>
            </w:tcMar>
          </w:tcPr>
          <w:p>
            <w:pPr>
              <w:spacing w:after="0" w:line="312"/>
            </w:pPr>
            <w:r>
              <w:rPr>
                <w:rFonts w:ascii="Times New Roman" w:eastAsia="Times New Roman"/>
                <w:color w:val="000000"/>
                <w:sz w:val="21"/>
                <w:szCs w:val="21"/>
              </w:rPr>
              <w:t xml:space="preserve">Project managers, sponsors</w:t>
            </w:r>
          </w:p>
        </w:tc>
      </w:tr>
    </w:tbl>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0D0" w:sz="2" w:space="4"/>
      </w:pBdr>
      <w:jc w:val="right"/>
    </w:pPr>
    <w:r>
      <w:rPr>
        <w:rFonts w:ascii="Times New Roman" w:eastAsia="Times New Roman"/>
        <w:color w:val="A0A0A0"/>
        <w:sz w:val="16"/>
        <w:szCs w:val="16"/>
      </w:rPr>
      <w:t xml:space="preserve">Executive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Times New Roman" w:eastAsia="Times New Roman"/>
      <w:b/>
      <w:bCs/>
      <w:color w:val="000000"/>
      <w:sz w:val="32"/>
      <w:szCs w:val="32"/>
    </w:rPr>
  </w:style>
  <w:style w:type="paragraph" w:styleId="Heading2">
    <w:name w:val="Heading 2"/>
    <w:basedOn w:val="Normal"/>
    <w:next w:val="Normal"/>
    <w:qFormat/>
    <w:pPr>
      <w:spacing w:after="120" w:before="280" w:line="312"/>
      <w:outlineLvl w:val="1"/>
    </w:pPr>
    <w:rPr>
      <w:rFonts w:ascii="Times New Roman" w:eastAsia="Times New Roman"/>
      <w:b/>
      <w:bCs/>
      <w:color w:val="000000"/>
      <w:sz w:val="28"/>
      <w:szCs w:val="28"/>
    </w:rPr>
  </w:style>
  <w:style w:type="paragraph" w:styleId="Heading3">
    <w:name w:val="Heading 3"/>
    <w:basedOn w:val="Normal"/>
    <w:next w:val="Normal"/>
    <w:qFormat/>
    <w:pPr>
      <w:spacing w:after="100" w:before="240" w:line="312"/>
      <w:outlineLvl w:val="2"/>
    </w:pPr>
    <w:rPr>
      <w:rFonts w:ascii="Times New Roman" w:eastAsia="Times New Roman"/>
      <w:b/>
      <w:bCs/>
      <w:color w:val="1A1A1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Summary</dc:title>
  <dc:creator>Technology Advisory Practice</dc:creator>
  <cp:lastModifiedBy>Un-named</cp:lastModifiedBy>
  <cp:revision>1</cp:revision>
  <dcterms:created xsi:type="dcterms:W3CDTF">2026-08-18T04:50:54.080Z</dcterms:created>
  <dcterms:modified xsi:type="dcterms:W3CDTF">2026-08-18T04:50:54.081Z</dcterms:modified>
</cp:coreProperties>
</file>

<file path=docProps/custom.xml><?xml version="1.0" encoding="utf-8"?>
<Properties xmlns="http://schemas.openxmlformats.org/officeDocument/2006/custom-properties" xmlns:vt="http://schemas.openxmlformats.org/officeDocument/2006/docPropsVTypes"/>
</file>