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3F1ED" w:val="clear"/>
            <w:vAlign w:val="top"/>
          </w:tcPr>
          <w:p>
            <w:pPr>
              <w:spacing w:before="4241"/>
            </w:pPr>
          </w:p>
          <w:p>
            <w:pPr>
              <w:pBdr>
                <w:bottom w:val="single" w:color="D6C096" w:sz="6" w:space="8"/>
              </w:pBdr>
              <w:spacing w:after="500"/>
              <w:ind w:left="1200" w:right="800"/>
            </w:pPr>
            <w:r>
              <w:rPr>
                <w:rFonts w:ascii="Times New Roman" w:eastAsia="Times New Roman"/>
                <w:color w:val="9A8455"/>
                <w:spacing w:val="40"/>
                <w:sz w:val="18"/>
                <w:szCs w:val="18"/>
              </w:rPr>
              <w:t xml:space="preserve">T  E  C  H  N  O  L  O  G  Y     A  D  V  I  S  O  R  Y</w:t>
            </w:r>
          </w:p>
          <w:p>
            <w:pPr>
              <w:spacing w:after="100" w:line="920" w:lineRule="atLeast"/>
              <w:ind w:left="1200"/>
            </w:pPr>
            <w:r>
              <w:rPr>
                <w:rFonts w:ascii="Times New Roman" w:eastAsia="Times New Roman"/>
                <w:b/>
                <w:bCs/>
                <w:color w:val="000000"/>
                <w:sz w:val="80"/>
                <w:szCs w:val="80"/>
              </w:rPr>
              <w:t xml:space="preserve">Solution Architecture</w:t>
            </w:r>
          </w:p>
          <w:p>
            <w:pPr>
              <w:spacing w:after="300" w:line="920" w:lineRule="atLeast"/>
              <w:ind w:left="1200"/>
            </w:pPr>
            <w:r>
              <w:rPr>
                <w:rFonts w:ascii="Times New Roman" w:eastAsia="Times New Roman"/>
                <w:b/>
                <w:bCs/>
                <w:color w:val="000000"/>
                <w:sz w:val="80"/>
                <w:szCs w:val="80"/>
              </w:rPr>
              <w:t xml:space="preserve">Document</w:t>
            </w:r>
          </w:p>
          <w:p>
            <w:pPr>
              <w:spacing w:after="800"/>
              <w:ind w:left="1200"/>
            </w:pPr>
            <w:r>
              <w:rPr>
                <w:rFonts w:ascii="Times New Roman" w:eastAsia="Times New Roman"/>
                <w:color w:val="606060"/>
                <w:sz w:val="24"/>
                <w:szCs w:val="24"/>
              </w:rPr>
              <w:t xml:space="preserve">AI Meeting Interpreter — Architecture as Implemented</w:t>
            </w:r>
          </w:p>
          <w:p>
            <w:pPr>
              <w:pBdr>
                <w:left w:val="single" w:color="D6C096" w:sz="8" w:space="12"/>
              </w:pBdr>
              <w:spacing w:after="80"/>
              <w:ind w:left="1400"/>
            </w:pPr>
            <w:r>
              <w:rPr>
                <w:rFonts w:ascii="Times New Roman" w:eastAsia="Times New Roman"/>
                <w:color w:val="707070"/>
                <w:sz w:val="24"/>
                <w:szCs w:val="24"/>
              </w:rPr>
              <w:t xml:space="preserve">Document AMI-ARC-002  ·  Version 1.0</w:t>
            </w:r>
          </w:p>
          <w:p>
            <w:pPr>
              <w:pBdr>
                <w:left w:val="single" w:color="D6C096" w:sz="8" w:space="12"/>
              </w:pBdr>
              <w:spacing w:after="80"/>
              <w:ind w:left="1400"/>
            </w:pPr>
            <w:r>
              <w:rPr>
                <w:rFonts w:ascii="Times New Roman" w:eastAsia="Times New Roman"/>
                <w:color w:val="707070"/>
                <w:sz w:val="24"/>
                <w:szCs w:val="24"/>
              </w:rPr>
              <w:t xml:space="preserve">Date of issue: 18 August 2026</w:t>
            </w:r>
          </w:p>
          <w:p>
            <w:pPr>
              <w:pBdr>
                <w:left w:val="single" w:color="D6C096" w:sz="8" w:space="12"/>
              </w:pBdr>
              <w:spacing w:after="80"/>
              <w:ind w:left="1400"/>
            </w:pPr>
            <w:r>
              <w:rPr>
                <w:rFonts w:ascii="Times New Roman" w:eastAsia="Times New Roman"/>
                <w:color w:val="707070"/>
                <w:sz w:val="24"/>
                <w:szCs w:val="24"/>
              </w:rPr>
              <w:t xml:space="preserve">Classification: Client Confidential</w:t>
            </w:r>
          </w:p>
          <w:p>
            <w:pPr>
              <w:spacing w:before="4241"/>
            </w:pPr>
          </w:p>
          <w:p>
            <w:pPr>
              <w:pBdr>
                <w:top w:val="single" w:color="D6C096" w:sz="2" w:space="8"/>
              </w:pBdr>
              <w:spacing w:before="200"/>
              <w:ind w:left="1200" w:right="800"/>
            </w:pPr>
            <w:r>
              <w:rPr>
                <w:rFonts w:ascii="Times New Roman" w:eastAsia="Times New Roman"/>
                <w:color w:val="A0A0A0"/>
                <w:sz w:val="16"/>
                <w:szCs w:val="16"/>
              </w:rPr>
              <w:t xml:space="preserve">AI Meeting Interpreter</w:t>
            </w:r>
            <w:r>
              <w:t xml:space="preserve">                                                        </w:t>
            </w:r>
            <w:r>
              <w:rPr>
                <w:rFonts w:ascii="Times New Roman" w:eastAsia="Times New Roman"/>
                <w:color w:val="A0A0A0"/>
                <w:sz w:val="16"/>
                <w:szCs w:val="16"/>
              </w:rPr>
              <w:t xml:space="preserve">18 August 2026</w:t>
            </w:r>
          </w:p>
        </w:tc>
      </w:tr>
    </w:tbl>
    <w:p>
      <w:pPr>
        <w:sectPr>
          <w:pgSz w:w="11906" w:h="16838" w:orient="portrait"/>
          <w:pgMar w:top="0" w:right="0" w:bottom="0" w:left="0" w:header="708" w:footer="708" w:gutter="0"/>
          <w:docGrid w:linePitch="360"/>
        </w:sectPr>
      </w:pPr>
    </w:p>
    <w:p>
      <w:pPr>
        <w:spacing w:after="240" w:before="120" w:line="312"/>
        <w:jc w:val="left"/>
      </w:pPr>
      <w:r>
        <w:rPr>
          <w:rFonts w:ascii="Times New Roman" w:eastAsia="Times New Roman"/>
          <w:b/>
          <w:bCs/>
          <w:color w:val="000000"/>
          <w:sz w:val="32"/>
          <w:szCs w:val="32"/>
        </w:rPr>
        <w:t xml:space="preserve">Document Control</w:t>
      </w:r>
    </w:p>
    <w:p>
      <w:pPr>
        <w:spacing w:after="120" w:line="312"/>
      </w:pPr>
      <w:r>
        <w:rPr>
          <w:rFonts w:ascii="Times New Roman" w:eastAsia="Times New Roman"/>
          <w:color w:val="404040"/>
          <w:sz w:val="22"/>
          <w:szCs w:val="22"/>
        </w:rPr>
        <w:t xml:space="preserve">The following table records the ownership, status and classification of this document.</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Title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Solution Architecture Document</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Identifier</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AMI-ARC-002</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Version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Status</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Issued</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Date of Issue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Prepared By</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 Practice</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Client / Engagement</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AI Meeting Interpreter — Independent Technology Review</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Classification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Confidential</w:t>
            </w:r>
          </w:p>
        </w:tc>
      </w:tr>
    </w:tbl>
    <w:p>
      <w:pPr>
        <w:spacing w:after="160" w:before="160"/>
      </w:pPr>
    </w:p>
    <w:p>
      <w:pPr>
        <w:spacing w:after="80" w:before="120" w:line="312"/>
      </w:pPr>
      <w:r>
        <w:rPr>
          <w:rFonts w:ascii="Times New Roman" w:eastAsia="Times New Roman"/>
          <w:b/>
          <w:bCs/>
          <w:color w:val="000000"/>
          <w:sz w:val="24"/>
          <w:szCs w:val="24"/>
        </w:rPr>
        <w:t xml:space="preserve">Version History</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Version</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Author</w:t>
            </w:r>
          </w:p>
        </w:tc>
        <w:tc>
          <w:tcPr>
            <w:tcW w:type="pct" w:w="4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Description of Change</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0.1</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Initial working draft produced from repository inspection.</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First issued version for client review.</w:t>
            </w:r>
          </w:p>
        </w:tc>
      </w:tr>
    </w:tbl>
    <w:p>
      <w:pPr>
        <w:spacing w:after="160" w:before="160"/>
      </w:pPr>
    </w:p>
    <w:p>
      <w:pPr>
        <w:spacing w:after="80" w:before="120" w:line="312"/>
      </w:pPr>
      <w:r>
        <w:rPr>
          <w:rFonts w:ascii="Times New Roman" w:eastAsia="Times New Roman"/>
          <w:b/>
          <w:bCs/>
          <w:color w:val="000000"/>
          <w:sz w:val="24"/>
          <w:szCs w:val="24"/>
        </w:rPr>
        <w:t xml:space="preserve">Distribution &amp; Approval</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Name</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Role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Action</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Sponsor】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Owner</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Approve</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 Lead】</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Authority</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Officer】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Information Security</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bl>
    <w:p>
      <w:pPr>
        <w:pageBreakBefore/>
        <w:spacing w:after="360" w:before="240" w:line="312"/>
        <w:jc w:val="center"/>
      </w:pPr>
      <w:r>
        <w:rPr>
          <w:rFonts w:ascii="Times New Roman" w:eastAsia="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Audience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Architecture Overview</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Architectural Style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Context Diagram</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2.3 Design Drivers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Logical Layers and Components</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Key Data Flows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Capture Start Flow</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Audio-to-Transcript Flow</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4.3 Analysis Flow</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4.4 Stop and Teardown Flow</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5. Technology Stack and Rationale</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6. Integration Points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6.1 AssemblyAI Streaming STT</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6.2 Google Gemini</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6.3 PostgreSQL</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7. Resilience Design</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8. Architecture Risks and Considerations</w:t>
            </w:r>
            <w:r>
              <w:tab/>
            </w:r>
            <w:r>
              <w:fldChar w:fldCharType="begin"/>
            </w:r>
            <w:r>
              <w:instrText xml:space="preserve"> PAGEREF _Toc100019 \h </w:instrText>
            </w:r>
            <w:r>
              <w:fldChar w:fldCharType="separate"/>
            </w:r>
            <w:r>
              <w:t>7</w:t>
            </w:r>
            <w:r>
              <w:fldChar w:fldCharType="end"/>
            </w:r>
          </w:hyperlink>
        </w:p>
        <w:p>
          <w:r>
            <w:fldChar w:fldCharType="end"/>
          </w:r>
        </w:p>
      </w:sdtContent>
    </w:sdt>
    <w:p>
      <w:pPr>
        <w:spacing w:before="200" w:line="312"/>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Introduction</w:t>
      </w:r>
      <w:bookmarkEnd w:id="100000"/>
    </w:p>
    <w:p>
      <w:pPr>
        <w:pStyle w:val="Heading2"/>
      </w:pPr>
      <w:bookmarkStart w:id="100001" w:name="_Toc100001"/>
      <w:r>
        <w:t xml:space="preserve">1.1 Purpose</w:t>
      </w:r>
      <w:bookmarkEnd w:id="100001"/>
    </w:p>
    <w:p>
      <w:pPr>
        <w:spacing w:after="120" w:line="312"/>
        <w:jc w:val="both"/>
      </w:pPr>
      <w:r>
        <w:rPr>
          <w:rFonts w:ascii="Times New Roman" w:eastAsia="Times New Roman"/>
          <w:color w:val="000000"/>
          <w:sz w:val="24"/>
          <w:szCs w:val="24"/>
        </w:rPr>
        <w:t xml:space="preserve">This Solution Architecture Document (SAD) describes the architecture of the AI Meeting Interpreter as implemented in the reviewed repository. It records the architectural style, the logical layers, the principal components, the key data flows, the technology selections and their rationale, and the integration points with external services.</w:t>
      </w:r>
    </w:p>
    <w:p>
      <w:pPr>
        <w:pStyle w:val="Heading2"/>
      </w:pPr>
      <w:bookmarkStart w:id="100002" w:name="_Toc100002"/>
      <w:r>
        <w:t xml:space="preserve">1.2 Audience</w:t>
      </w:r>
      <w:bookmarkEnd w:id="100002"/>
    </w:p>
    <w:p>
      <w:pPr>
        <w:spacing w:after="120" w:line="312"/>
        <w:jc w:val="both"/>
      </w:pPr>
      <w:r>
        <w:rPr>
          <w:rFonts w:ascii="Times New Roman" w:eastAsia="Times New Roman"/>
          <w:color w:val="000000"/>
          <w:sz w:val="24"/>
          <w:szCs w:val="24"/>
        </w:rPr>
        <w:t xml:space="preserve">The intended readers are solution architects, engineering leads and senior developers who require an authoritative description of how the system is constructed and why. Functional behaviour is specified in the Functional Specification (AMI-FSD-003); module-level detail is in the Technical Design Document (AMI-TDD-004); interface contracts are in the Data Architecture &amp; Interface Specification (AMI-DAI-005).</w:t>
      </w:r>
    </w:p>
    <w:p>
      <w:pPr>
        <w:pStyle w:val="Heading1"/>
      </w:pPr>
      <w:bookmarkStart w:id="100003" w:name="_Toc100003"/>
      <w:r>
        <w:t xml:space="preserve">2. Architecture Overview</w:t>
      </w:r>
      <w:bookmarkEnd w:id="100003"/>
    </w:p>
    <w:p>
      <w:pPr>
        <w:pStyle w:val="Heading2"/>
      </w:pPr>
      <w:bookmarkStart w:id="100004" w:name="_Toc100004"/>
      <w:r>
        <w:t xml:space="preserve">2.1 Architectural Style</w:t>
      </w:r>
      <w:bookmarkEnd w:id="100004"/>
    </w:p>
    <w:p>
      <w:pPr>
        <w:spacing w:after="120" w:line="312"/>
        <w:jc w:val="both"/>
      </w:pPr>
      <w:r>
        <w:rPr>
          <w:rFonts w:ascii="Times New Roman" w:eastAsia="Times New Roman"/>
          <w:color w:val="000000"/>
          <w:sz w:val="24"/>
          <w:szCs w:val="24"/>
        </w:rPr>
        <w:t xml:space="preserve">The system is a single-host desktop application organised as three cooperating runtimes inside one Tauri v2 shell: a webview-rendered TypeScript front end, a Rust core responsible for audio capture and inter-process plumbing, and a Node.js sidecar child process responsible for all cloud AI integration. The runtimes communicate over operating-system pipes using two distinct wire formats: a compact binary framing protocol (PCM1) for the latency-sensitive audio path, and newline-delimited JSON for control and result events. This style can be characterised as a layered, process-isolated pipeline architecture with a clear split between the real-time plane (audio) and the intelligence plane (STT and LLM analysis).</w:t>
      </w:r>
    </w:p>
    <w:p>
      <w:pPr>
        <w:pStyle w:val="Heading2"/>
      </w:pPr>
      <w:bookmarkStart w:id="100005" w:name="_Toc100005"/>
      <w:r>
        <w:t xml:space="preserve">2.2 Context Diagram</w:t>
      </w:r>
      <w:bookmarkEnd w:id="100005"/>
    </w:p>
    <w:p>
      <w:pPr>
        <w:spacing w:after="120" w:line="312"/>
        <w:jc w:val="both"/>
      </w:pPr>
      <w:r>
        <w:rPr>
          <w:rFonts w:ascii="Times New Roman" w:eastAsia="Times New Roman"/>
          <w:color w:val="000000"/>
          <w:sz w:val="24"/>
          <w:szCs w:val="24"/>
        </w:rPr>
        <w:t xml:space="preserve">The diagram below shows the system boundary and its external dependencies.</w:t>
      </w:r>
    </w:p>
    <w:tbl>
      <w:tblPr>
        <w:tblW w:type="pct" w:w="100%"/>
        <w:tblBorders>
          <w:top w:val="single" w:color="DDD8CC" w:sz="2"/>
          <w:left w:val="single" w:color="DDD8CC" w:sz="2"/>
          <w:bottom w:val="single" w:color="DDD8CC" w:sz="2"/>
          <w:right w:val="single" w:color="DDD8CC" w:sz="2"/>
          <w:insideH w:val="none"/>
          <w:insideV w:val="none"/>
        </w:tblBorders>
        <w:tblLayout w:type="fixed"/>
      </w:tblPr>
      <w:tblGrid>
        <w:gridCol w:w="100"/>
      </w:tblGrid>
      <w:tr>
        <w:trPr>
          <w:cantSplit/>
        </w:trPr>
        <w:tc>
          <w:tcPr>
            <w:tcW w:type="pct" w:w="100%"/>
            <w:shd w:fill="F7F5F0" w:val="clear"/>
            <w:tcMar>
              <w:top w:type="dxa" w:w="100"/>
              <w:left w:type="dxa" w:w="160"/>
              <w:bottom w:type="dxa" w:w="100"/>
              <w:right w:type="dxa" w:w="160"/>
            </w:tcMar>
          </w:tcPr>
          <w:p>
            <w:pPr>
              <w:spacing w:after="20" w:line="312"/>
            </w:pPr>
            <w:r>
              <w:rPr>
                <w:rFonts w:ascii="Courier New" w:eastAsia="Courier New"/>
                <w:color w:val="1A1A1A"/>
                <w:sz w:val="18"/>
                <w:szCs w:val="18"/>
              </w:rPr>
              <w:t xml:space="preserve">+---------------------------------------------------------------+</w:t>
            </w:r>
          </w:p>
          <w:p>
            <w:pPr>
              <w:spacing w:after="20" w:line="312"/>
            </w:pPr>
            <w:r>
              <w:rPr>
                <w:rFonts w:ascii="Courier New" w:eastAsia="Courier New"/>
                <w:color w:val="1A1A1A"/>
                <w:sz w:val="18"/>
                <w:szCs w:val="18"/>
              </w:rPr>
              <w:t xml:space="preserve">|                   TAURI DESKTOP APPLICATION                   |</w:t>
            </w:r>
          </w:p>
          <w:p>
            <w:pPr>
              <w:spacing w:after="20" w:line="312"/>
            </w:pPr>
            <w:r>
              <w:rPr>
                <w:rFonts w:ascii="Courier New" w:eastAsia="Courier New"/>
                <w:color w:val="1A1A1A"/>
                <w:sz w:val="18"/>
                <w:szCs w:val="18"/>
              </w:rPr>
              <w:t xml:space="preserve">|                                                               |</w:t>
            </w:r>
          </w:p>
          <w:p>
            <w:pPr>
              <w:spacing w:after="20" w:line="312"/>
            </w:pPr>
            <w:r>
              <w:rPr>
                <w:rFonts w:ascii="Courier New" w:eastAsia="Courier New"/>
                <w:color w:val="1A1A1A"/>
                <w:sz w:val="18"/>
                <w:szCs w:val="18"/>
              </w:rPr>
              <w:t xml:space="preserve">|  +-----------------------+        +------------------------+  |</w:t>
            </w:r>
          </w:p>
          <w:p>
            <w:pPr>
              <w:spacing w:after="20" w:line="312"/>
            </w:pPr>
            <w:r>
              <w:rPr>
                <w:rFonts w:ascii="Courier New" w:eastAsia="Courier New"/>
                <w:color w:val="1A1A1A"/>
                <w:sz w:val="18"/>
                <w:szCs w:val="18"/>
              </w:rPr>
              <w:t xml:space="preserve">|  | Vite + TypeScript UI  | &lt;----&gt; |      Rust Core         |  |</w:t>
            </w:r>
          </w:p>
          <w:p>
            <w:pPr>
              <w:spacing w:after="20" w:line="312"/>
            </w:pPr>
            <w:r>
              <w:rPr>
                <w:rFonts w:ascii="Courier New" w:eastAsia="Courier New"/>
                <w:color w:val="1A1A1A"/>
                <w:sz w:val="18"/>
                <w:szCs w:val="18"/>
              </w:rPr>
              <w:t xml:space="preserve">|  | (3-pane glassmorphism)| events | audio / resample / IPC |  |</w:t>
            </w:r>
          </w:p>
          <w:p>
            <w:pPr>
              <w:spacing w:after="20" w:line="312"/>
            </w:pPr>
            <w:r>
              <w:rPr>
                <w:rFonts w:ascii="Courier New" w:eastAsia="Courier New"/>
                <w:color w:val="1A1A1A"/>
                <w:sz w:val="18"/>
                <w:szCs w:val="18"/>
              </w:rPr>
              <w:t xml:space="preserve">|  +-----------------------+  IPC   +-----------+------------+  |</w:t>
            </w:r>
          </w:p>
          <w:p>
            <w:pPr>
              <w:spacing w:after="20" w:line="312"/>
            </w:pPr>
            <w:r>
              <w:rPr>
                <w:rFonts w:ascii="Courier New" w:eastAsia="Courier New"/>
                <w:color w:val="1A1A1A"/>
                <w:sz w:val="18"/>
                <w:szCs w:val="18"/>
              </w:rPr>
              <w:t xml:space="preserve">|                                              | PCM1 frames    |</w:t>
            </w:r>
          </w:p>
          <w:p>
            <w:pPr>
              <w:spacing w:after="20" w:line="312"/>
            </w:pPr>
            <w:r>
              <w:rPr>
                <w:rFonts w:ascii="Courier New" w:eastAsia="Courier New"/>
                <w:color w:val="1A1A1A"/>
                <w:sz w:val="18"/>
                <w:szCs w:val="18"/>
              </w:rPr>
              <w:t xml:space="preserve">|                                              v (stdin pipe)   |</w:t>
            </w:r>
          </w:p>
          <w:p>
            <w:pPr>
              <w:spacing w:after="20" w:line="312"/>
            </w:pPr>
            <w:r>
              <w:rPr>
                <w:rFonts w:ascii="Courier New" w:eastAsia="Courier New"/>
                <w:color w:val="1A1A1A"/>
                <w:sz w:val="18"/>
                <w:szCs w:val="18"/>
              </w:rPr>
              <w:t xml:space="preserve">|                                 +------------------------+    |</w:t>
            </w:r>
          </w:p>
          <w:p>
            <w:pPr>
              <w:spacing w:after="20" w:line="312"/>
            </w:pPr>
            <w:r>
              <w:rPr>
                <w:rFonts w:ascii="Courier New" w:eastAsia="Courier New"/>
                <w:color w:val="1A1A1A"/>
                <w:sz w:val="18"/>
                <w:szCs w:val="18"/>
              </w:rPr>
              <w:t xml:space="preserve">|                                 |   Node.js Sidecar      |    |</w:t>
            </w:r>
          </w:p>
          <w:p>
            <w:pPr>
              <w:spacing w:after="20" w:line="312"/>
            </w:pPr>
            <w:r>
              <w:rPr>
                <w:rFonts w:ascii="Courier New" w:eastAsia="Courier New"/>
                <w:color w:val="1A1A1A"/>
                <w:sz w:val="18"/>
                <w:szCs w:val="18"/>
              </w:rPr>
              <w:t xml:space="preserve">|                                 |  gateway/sidecar.js    |    |</w:t>
            </w:r>
          </w:p>
          <w:p>
            <w:pPr>
              <w:spacing w:after="20" w:line="312"/>
            </w:pPr>
            <w:r>
              <w:rPr>
                <w:rFonts w:ascii="Courier New" w:eastAsia="Courier New"/>
                <w:color w:val="1A1A1A"/>
                <w:sz w:val="18"/>
                <w:szCs w:val="18"/>
              </w:rPr>
              <w:t xml:space="preserve">|                                 +-----+----------+-------+    |</w:t>
            </w:r>
          </w:p>
          <w:p>
            <w:pPr>
              <w:spacing w:after="20" w:line="312"/>
            </w:pPr>
            <w:r>
              <w:rPr>
                <w:rFonts w:ascii="Courier New" w:eastAsia="Courier New"/>
                <w:color w:val="1A1A1A"/>
                <w:sz w:val="18"/>
                <w:szCs w:val="18"/>
              </w:rPr>
              <w:t xml:space="preserve">+---------------------------------------|----------|------------+</w:t>
            </w:r>
          </w:p>
          <w:p>
            <w:pPr>
              <w:spacing w:after="20" w:line="312"/>
            </w:pPr>
            <w:r>
              <w:rPr>
                <w:rFonts w:ascii="Courier New" w:eastAsia="Courier New"/>
                <w:color w:val="1A1A1A"/>
                <w:sz w:val="18"/>
                <w:szCs w:val="18"/>
              </w:rPr>
              <w:t xml:space="preserve">|                          (stdout JSON)|          |             </w:t>
            </w:r>
          </w:p>
          <w:p>
            <w:pPr>
              <w:spacing w:after="20" w:line="312"/>
            </w:pPr>
            <w:r>
              <w:rPr>
                <w:rFonts w:ascii="Courier New" w:eastAsia="Courier New"/>
                <w:color w:val="1A1A1A"/>
                <w:sz w:val="18"/>
                <w:szCs w:val="18"/>
              </w:rPr>
              <w:t xml:space="preserve">|                                       v          v             </w:t>
            </w:r>
          </w:p>
          <w:p>
            <w:pPr>
              <w:spacing w:after="20" w:line="312"/>
            </w:pPr>
            <w:r>
              <w:rPr>
                <w:rFonts w:ascii="Courier New" w:eastAsia="Courier New"/>
                <w:color w:val="1A1A1A"/>
                <w:sz w:val="18"/>
                <w:szCs w:val="18"/>
              </w:rPr>
              <w:t xml:space="preserve">|        +----------------------+   +---------------------+      </w:t>
            </w:r>
          </w:p>
          <w:p>
            <w:pPr>
              <w:spacing w:after="20" w:line="312"/>
            </w:pPr>
            <w:r>
              <w:rPr>
                <w:rFonts w:ascii="Courier New" w:eastAsia="Courier New"/>
                <w:color w:val="1A1A1A"/>
                <w:sz w:val="18"/>
                <w:szCs w:val="18"/>
              </w:rPr>
              <w:t xml:space="preserve">|        | AssemblyAI v3        |   | Google Gemini LLM   |      </w:t>
            </w:r>
          </w:p>
          <w:p>
            <w:pPr>
              <w:spacing w:after="20" w:line="312"/>
            </w:pPr>
            <w:r>
              <w:rPr>
                <w:rFonts w:ascii="Courier New" w:eastAsia="Courier New"/>
                <w:color w:val="1A1A1A"/>
                <w:sz w:val="18"/>
                <w:szCs w:val="18"/>
              </w:rPr>
              <w:t xml:space="preserve">|        | Streaming STT (WSS)  |   | (HTTPS / JSON)      |      </w:t>
            </w:r>
          </w:p>
          <w:p>
            <w:pPr>
              <w:spacing w:after="20" w:line="312"/>
            </w:pPr>
            <w:r>
              <w:rPr>
                <w:rFonts w:ascii="Courier New" w:eastAsia="Courier New"/>
                <w:color w:val="1A1A1A"/>
                <w:sz w:val="18"/>
                <w:szCs w:val="18"/>
              </w:rPr>
              <w:t xml:space="preserve">|        +----------------------+   +---------------------+      </w:t>
            </w:r>
          </w:p>
          <w:p>
            <w:pPr>
              <w:spacing w:after="20" w:line="312"/>
            </w:pPr>
            <w:r>
              <w:rPr>
                <w:rFonts w:ascii="Courier New" w:eastAsia="Courier New"/>
                <w:color w:val="1A1A1A"/>
                <w:sz w:val="18"/>
                <w:szCs w:val="18"/>
              </w:rPr>
              <w:t xml:space="preserve">|                                             |                  </w:t>
            </w:r>
          </w:p>
          <w:p>
            <w:pPr>
              <w:spacing w:after="20" w:line="312"/>
            </w:pPr>
            <w:r>
              <w:rPr>
                <w:rFonts w:ascii="Courier New" w:eastAsia="Courier New"/>
                <w:color w:val="1A1A1A"/>
                <w:sz w:val="18"/>
                <w:szCs w:val="18"/>
              </w:rPr>
              <w:t xml:space="preserve">|                                     +-------v--------+         </w:t>
            </w:r>
          </w:p>
          <w:p>
            <w:pPr>
              <w:spacing w:after="20" w:line="312"/>
            </w:pPr>
            <w:r>
              <w:rPr>
                <w:rFonts w:ascii="Courier New" w:eastAsia="Courier New"/>
                <w:color w:val="1A1A1A"/>
                <w:sz w:val="18"/>
                <w:szCs w:val="18"/>
              </w:rPr>
              <w:t xml:space="preserve">|                                     |  PostgreSQL    |         </w:t>
            </w:r>
          </w:p>
          <w:p>
            <w:pPr>
              <w:spacing w:after="20" w:line="312"/>
            </w:pPr>
            <w:r>
              <w:rPr>
                <w:rFonts w:ascii="Courier New" w:eastAsia="Courier New"/>
                <w:color w:val="1A1A1A"/>
                <w:sz w:val="18"/>
                <w:szCs w:val="18"/>
              </w:rPr>
              <w:t xml:space="preserve">|                                     |  (optional)    |         </w:t>
            </w:r>
          </w:p>
          <w:p>
            <w:pPr>
              <w:spacing w:after="20" w:line="312"/>
            </w:pPr>
            <w:r>
              <w:rPr>
                <w:rFonts w:ascii="Courier New" w:eastAsia="Courier New"/>
                <w:color w:val="1A1A1A"/>
                <w:sz w:val="18"/>
                <w:szCs w:val="18"/>
              </w:rPr>
              <w:t xml:space="preserve">|                                     +----------------+         </w:t>
            </w:r>
          </w:p>
          <w:p>
            <w:pPr>
              <w:spacing w:after="20" w:line="312"/>
            </w:pPr>
            <w:r>
              <w:rPr>
                <w:rFonts w:ascii="Courier New" w:eastAsia="Courier New"/>
                <w:color w:val="1A1A1A"/>
                <w:sz w:val="18"/>
                <w:szCs w:val="18"/>
              </w:rPr>
              <w:t xml:space="preserve">+---------------------------------------------------------------+</w:t>
            </w:r>
          </w:p>
        </w:tc>
      </w:tr>
    </w:tbl>
    <w:p>
      <w:pPr>
        <w:pStyle w:val="Heading2"/>
      </w:pPr>
      <w:bookmarkStart w:id="100006" w:name="_Toc100006"/>
      <w:r>
        <w:t xml:space="preserve">2.3 Design Drivers</w:t>
      </w:r>
      <w:bookmarkEnd w:id="100006"/>
    </w:p>
    <w:p>
      <w:pPr>
        <w:spacing w:after="120" w:line="312"/>
        <w:jc w:val="both"/>
      </w:pPr>
      <w:r>
        <w:rPr>
          <w:rFonts w:ascii="Times New Roman" w:eastAsia="Times New Roman"/>
          <w:color w:val="000000"/>
          <w:sz w:val="24"/>
          <w:szCs w:val="24"/>
        </w:rPr>
        <w:t xml:space="preserve">Four design drivers are evident in the architecture and are assessed as sensible for the product context.</w:t>
      </w:r>
    </w:p>
    <w:p>
      <w:pPr>
        <w:pStyle w:val="ListParagraph"/>
        <w:numPr>
          <w:ilvl w:val="0"/>
          <w:numId w:val="1"/>
        </w:numPr>
        <w:spacing w:after="60" w:line="312"/>
      </w:pPr>
      <w:r>
        <w:rPr>
          <w:rFonts w:ascii="Times New Roman" w:eastAsia="Times New Roman"/>
          <w:b/>
          <w:bCs/>
          <w:color w:val="000000"/>
          <w:sz w:val="24"/>
          <w:szCs w:val="24"/>
        </w:rPr>
        <w:t xml:space="preserve">Low latency from microphone to transcript. </w:t>
      </w:r>
      <w:r>
        <w:rPr>
          <w:rFonts w:ascii="Times New Roman" w:eastAsia="Times New Roman"/>
          <w:color w:val="000000"/>
          <w:sz w:val="24"/>
          <w:szCs w:val="24"/>
        </w:rPr>
        <w:t xml:space="preserve">Audio is chunked at 250 ms and pushed to the streaming STT service over a persistent WebSocket, keeping perceived transcription delay close to the service's own latency.</w:t>
      </w:r>
    </w:p>
    <w:p>
      <w:pPr>
        <w:pStyle w:val="ListParagraph"/>
        <w:numPr>
          <w:ilvl w:val="0"/>
          <w:numId w:val="1"/>
        </w:numPr>
        <w:spacing w:after="60" w:line="312"/>
      </w:pPr>
      <w:r>
        <w:rPr>
          <w:rFonts w:ascii="Times New Roman" w:eastAsia="Times New Roman"/>
          <w:b/>
          <w:bCs/>
          <w:color w:val="000000"/>
          <w:sz w:val="24"/>
          <w:szCs w:val="24"/>
        </w:rPr>
        <w:t xml:space="preserve">Cost containment for LLM usage. </w:t>
      </w:r>
      <w:r>
        <w:rPr>
          <w:rFonts w:ascii="Times New Roman" w:eastAsia="Times New Roman"/>
          <w:color w:val="000000"/>
          <w:sz w:val="24"/>
          <w:szCs w:val="24"/>
        </w:rPr>
        <w:t xml:space="preserve">A significance gate ensures only medium/high-value transcript chunks trigger expensive analysis stages, and a hard circuit breaker caps total API calls per meeting.</w:t>
      </w:r>
    </w:p>
    <w:p>
      <w:pPr>
        <w:pStyle w:val="ListParagraph"/>
        <w:numPr>
          <w:ilvl w:val="0"/>
          <w:numId w:val="1"/>
        </w:numPr>
        <w:spacing w:after="60" w:line="312"/>
      </w:pPr>
      <w:r>
        <w:rPr>
          <w:rFonts w:ascii="Times New Roman" w:eastAsia="Times New Roman"/>
          <w:b/>
          <w:bCs/>
          <w:color w:val="000000"/>
          <w:sz w:val="24"/>
          <w:szCs w:val="24"/>
        </w:rPr>
        <w:t xml:space="preserve">Resilience of the desktop experience. </w:t>
      </w:r>
      <w:r>
        <w:rPr>
          <w:rFonts w:ascii="Times New Roman" w:eastAsia="Times New Roman"/>
          <w:color w:val="000000"/>
          <w:sz w:val="24"/>
          <w:szCs w:val="24"/>
        </w:rPr>
        <w:t xml:space="preserve">Optional persistence falls back to memory-only operation when no database is configured, so the core product never depends on infrastructure availability.</w:t>
      </w:r>
    </w:p>
    <w:p>
      <w:pPr>
        <w:pStyle w:val="ListParagraph"/>
        <w:numPr>
          <w:ilvl w:val="0"/>
          <w:numId w:val="1"/>
        </w:numPr>
        <w:spacing w:after="60" w:line="312"/>
      </w:pPr>
      <w:r>
        <w:rPr>
          <w:rFonts w:ascii="Times New Roman" w:eastAsia="Times New Roman"/>
          <w:b/>
          <w:bCs/>
          <w:color w:val="000000"/>
          <w:sz w:val="24"/>
          <w:szCs w:val="24"/>
        </w:rPr>
        <w:t xml:space="preserve">Separation of volatility. </w:t>
      </w:r>
      <w:r>
        <w:rPr>
          <w:rFonts w:ascii="Times New Roman" w:eastAsia="Times New Roman"/>
          <w:color w:val="000000"/>
          <w:sz w:val="24"/>
          <w:szCs w:val="24"/>
        </w:rPr>
        <w:t xml:space="preserve">Prompt engineering and API integration live in JavaScript where iteration is cheap; audio plumbing lives in Rust where correctness and throughput matter.</w:t>
      </w:r>
    </w:p>
    <w:p>
      <w:pPr>
        <w:pStyle w:val="Heading1"/>
      </w:pPr>
      <w:bookmarkStart w:id="100007" w:name="_Toc100007"/>
      <w:r>
        <w:t xml:space="preserve">3. Logical Layers and Components</w:t>
      </w:r>
      <w:bookmarkEnd w:id="100007"/>
    </w:p>
    <w:p>
      <w:pPr>
        <w:keepNext/>
        <w:spacing w:after="80" w:before="200" w:line="312"/>
      </w:pPr>
      <w:r>
        <w:rPr>
          <w:rFonts w:ascii="Times New Roman" w:eastAsia="Times New Roman"/>
          <w:b/>
          <w:bCs/>
          <w:color w:val="404040"/>
          <w:sz w:val="21"/>
          <w:szCs w:val="21"/>
        </w:rPr>
        <w:t xml:space="preserve">Table 4 — Component Inventory</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Layer</w:t>
            </w:r>
          </w:p>
        </w:tc>
        <w:tc>
          <w:tcPr>
            <w:tcW w:type="pct" w:w="1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Component</w:t>
            </w:r>
          </w:p>
        </w:tc>
        <w:tc>
          <w:tcPr>
            <w:tcW w:type="pct" w:w="3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Artefacts</w:t>
            </w:r>
          </w:p>
        </w:tc>
        <w:tc>
          <w:tcPr>
            <w:tcW w:type="pct" w:w="3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Responsibility</w:t>
            </w:r>
          </w:p>
        </w:tc>
      </w:tr>
      <w:tr>
        <w:trPr>
          <w:cantSplit/>
        </w:trPr>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Presentation</w:t>
            </w:r>
          </w:p>
        </w:tc>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Glassmorphism UI</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index.html, src/main.ts, src/styles.css</w:t>
            </w:r>
          </w:p>
        </w:tc>
        <w:tc>
          <w:tcPr>
            <w:tcW w:type="pct" w:w="38%"/>
            <w:tcMar>
              <w:top w:type="dxa" w:w="60"/>
              <w:left w:type="dxa" w:w="120"/>
              <w:bottom w:type="dxa" w:w="60"/>
              <w:right w:type="dxa" w:w="120"/>
            </w:tcMar>
          </w:tcPr>
          <w:p>
            <w:pPr>
              <w:spacing w:after="0" w:line="312"/>
            </w:pPr>
            <w:r>
              <w:rPr>
                <w:rFonts w:ascii="Times New Roman" w:eastAsia="Times New Roman"/>
                <w:color w:val="000000"/>
                <w:sz w:val="21"/>
                <w:szCs w:val="21"/>
              </w:rPr>
              <w:t xml:space="preserve">Three-pane rendering: live transcript, plain-language context, suggested responses; status indicator; capture controls</w:t>
            </w:r>
          </w:p>
        </w:tc>
      </w:tr>
      <w:tr>
        <w:trPr>
          <w:cantSplit/>
        </w:trPr>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Application (Rust)</w:t>
            </w:r>
          </w:p>
        </w:tc>
        <w:tc>
          <w:tcPr>
            <w:tcW w:type="pct" w:w="1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IPC &amp; Lifecycle</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src-tauri/src/lib.rs</w:t>
            </w:r>
          </w:p>
        </w:tc>
        <w:tc>
          <w:tcPr>
            <w:tcW w:type="pct" w:w="3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Tauri commands start_capture / stop_capture; sidecar process spawn and teardown; event relay from sidecar JSON to frontend events</w:t>
            </w:r>
          </w:p>
        </w:tc>
      </w:tr>
      <w:tr>
        <w:trPr>
          <w:cantSplit/>
        </w:trPr>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Application (Rust)</w:t>
            </w:r>
          </w:p>
        </w:tc>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Audio Capture</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src-tauri/src/audio.rs</w:t>
            </w:r>
          </w:p>
        </w:tc>
        <w:tc>
          <w:tcPr>
            <w:tcW w:type="pct" w:w="38%"/>
            <w:tcMar>
              <w:top w:type="dxa" w:w="60"/>
              <w:left w:type="dxa" w:w="120"/>
              <w:bottom w:type="dxa" w:w="60"/>
              <w:right w:type="dxa" w:w="120"/>
            </w:tcMar>
          </w:tcPr>
          <w:p>
            <w:pPr>
              <w:spacing w:after="0" w:line="312"/>
            </w:pPr>
            <w:r>
              <w:rPr>
                <w:rFonts w:ascii="Times New Roman" w:eastAsia="Times New Roman"/>
                <w:color w:val="000000"/>
                <w:sz w:val="21"/>
                <w:szCs w:val="21"/>
              </w:rPr>
              <w:t xml:space="preserve">WASAPI loopback + microphone capture via cpal; downmix to mono; sample-format conversion; mixer thread</w:t>
            </w:r>
          </w:p>
        </w:tc>
      </w:tr>
      <w:tr>
        <w:trPr>
          <w:cantSplit/>
        </w:trPr>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Application (Rust)</w:t>
            </w:r>
          </w:p>
        </w:tc>
        <w:tc>
          <w:tcPr>
            <w:tcW w:type="pct" w:w="1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Resampler</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src-tauri/src/resample.rs</w:t>
            </w:r>
          </w:p>
        </w:tc>
        <w:tc>
          <w:tcPr>
            <w:tcW w:type="pct" w:w="3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FFT-based conversion of 48/44.1 kHz audio to 16 kHz mono via rubato</w:t>
            </w:r>
          </w:p>
        </w:tc>
      </w:tr>
      <w:tr>
        <w:trPr>
          <w:cantSplit/>
        </w:trPr>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Application (Rust)</w:t>
            </w:r>
          </w:p>
        </w:tc>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Streaming Sink</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src-tauri/src/streaming.rs</w:t>
            </w:r>
          </w:p>
        </w:tc>
        <w:tc>
          <w:tcPr>
            <w:tcW w:type="pct" w:w="38%"/>
            <w:tcMar>
              <w:top w:type="dxa" w:w="60"/>
              <w:left w:type="dxa" w:w="120"/>
              <w:bottom w:type="dxa" w:w="60"/>
              <w:right w:type="dxa" w:w="120"/>
            </w:tcMar>
          </w:tcPr>
          <w:p>
            <w:pPr>
              <w:spacing w:after="0" w:line="312"/>
            </w:pPr>
            <w:r>
              <w:rPr>
                <w:rFonts w:ascii="Times New Roman" w:eastAsia="Times New Roman"/>
                <w:color w:val="000000"/>
                <w:sz w:val="21"/>
                <w:szCs w:val="21"/>
              </w:rPr>
              <w:t xml:space="preserve">Buffers PCM16 samples; emits PCM1-framed 250 ms chunks to the sidecar's stdin</w:t>
            </w:r>
          </w:p>
        </w:tc>
      </w:tr>
      <w:tr>
        <w:trPr>
          <w:cantSplit/>
        </w:trPr>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Intelligence (Node)</w:t>
            </w:r>
          </w:p>
        </w:tc>
        <w:tc>
          <w:tcPr>
            <w:tcW w:type="pct" w:w="1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Sidecar</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gateway/sidecar.js</w:t>
            </w:r>
          </w:p>
        </w:tc>
        <w:tc>
          <w:tcPr>
            <w:tcW w:type="pct" w:w="3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Parses PCM1 frames; streams audio to AssemblyAI; manages the semantic transcript buffer; emits JSON events</w:t>
            </w:r>
          </w:p>
        </w:tc>
      </w:tr>
      <w:tr>
        <w:trPr>
          <w:cantSplit/>
        </w:trPr>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Intelligence (Node)</w:t>
            </w:r>
          </w:p>
        </w:tc>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Agent Pipeline</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gateway/agent.js</w:t>
            </w:r>
          </w:p>
        </w:tc>
        <w:tc>
          <w:tcPr>
            <w:tcW w:type="pct" w:w="38%"/>
            <w:tcMar>
              <w:top w:type="dxa" w:w="60"/>
              <w:left w:type="dxa" w:w="120"/>
              <w:bottom w:type="dxa" w:w="60"/>
              <w:right w:type="dxa" w:w="120"/>
            </w:tcMar>
          </w:tcPr>
          <w:p>
            <w:pPr>
              <w:spacing w:after="0" w:line="312"/>
            </w:pPr>
            <w:r>
              <w:rPr>
                <w:rFonts w:ascii="Times New Roman" w:eastAsia="Times New Roman"/>
                <w:color w:val="000000"/>
                <w:sz w:val="21"/>
                <w:szCs w:val="21"/>
              </w:rPr>
              <w:t xml:space="preserve">Four-stage Gemini analysis: Context Manager, Explanation Agent, Meeting Analyst, Response Agent; circuit breaker</w:t>
            </w:r>
          </w:p>
        </w:tc>
      </w:tr>
      <w:tr>
        <w:trPr>
          <w:cantSplit/>
        </w:trPr>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Intelligence (Node)</w:t>
            </w:r>
          </w:p>
        </w:tc>
        <w:tc>
          <w:tcPr>
            <w:tcW w:type="pct" w:w="1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Persistence</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gateway/db.js</w:t>
            </w:r>
          </w:p>
        </w:tc>
        <w:tc>
          <w:tcPr>
            <w:tcW w:type="pct" w:w="3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Optional batched PostgreSQL writes for transcripts, decisions and action items; graceful degradation</w:t>
            </w:r>
          </w:p>
        </w:tc>
      </w:tr>
      <w:tr>
        <w:trPr>
          <w:cantSplit/>
        </w:trPr>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External</w:t>
            </w:r>
          </w:p>
        </w:tc>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AssemblyAI</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wss://streaming.assemblyai.com/v3/ws</w:t>
            </w:r>
          </w:p>
        </w:tc>
        <w:tc>
          <w:tcPr>
            <w:tcW w:type="pct" w:w="38%"/>
            <w:tcMar>
              <w:top w:type="dxa" w:w="60"/>
              <w:left w:type="dxa" w:w="120"/>
              <w:bottom w:type="dxa" w:w="60"/>
              <w:right w:type="dxa" w:w="120"/>
            </w:tcMar>
          </w:tcPr>
          <w:p>
            <w:pPr>
              <w:spacing w:after="0" w:line="312"/>
            </w:pPr>
            <w:r>
              <w:rPr>
                <w:rFonts w:ascii="Times New Roman" w:eastAsia="Times New Roman"/>
                <w:color w:val="000000"/>
                <w:sz w:val="21"/>
                <w:szCs w:val="21"/>
              </w:rPr>
              <w:t xml:space="preserve">Real-time streaming speech-to-text with end-of-turn detection</w:t>
            </w:r>
          </w:p>
        </w:tc>
      </w:tr>
      <w:tr>
        <w:trPr>
          <w:cantSplit/>
        </w:trPr>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External</w:t>
            </w:r>
          </w:p>
        </w:tc>
        <w:tc>
          <w:tcPr>
            <w:tcW w:type="pct" w:w="1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Google Gemini</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gemini-flash-lite-latest via HTTPS</w:t>
            </w:r>
          </w:p>
        </w:tc>
        <w:tc>
          <w:tcPr>
            <w:tcW w:type="pct" w:w="3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Chunk classification, explanation, decision/action extraction, reply suggestion</w:t>
            </w:r>
          </w:p>
        </w:tc>
      </w:tr>
      <w:tr>
        <w:trPr>
          <w:cantSplit/>
        </w:trPr>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External</w:t>
            </w:r>
          </w:p>
        </w:tc>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PostgreSQL</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optional, user-provided</w:t>
            </w:r>
          </w:p>
        </w:tc>
        <w:tc>
          <w:tcPr>
            <w:tcW w:type="pct" w:w="38%"/>
            <w:tcMar>
              <w:top w:type="dxa" w:w="60"/>
              <w:left w:type="dxa" w:w="120"/>
              <w:bottom w:type="dxa" w:w="60"/>
              <w:right w:type="dxa" w:w="120"/>
            </w:tcMar>
          </w:tcPr>
          <w:p>
            <w:pPr>
              <w:spacing w:after="0" w:line="312"/>
            </w:pPr>
            <w:r>
              <w:rPr>
                <w:rFonts w:ascii="Times New Roman" w:eastAsia="Times New Roman"/>
                <w:color w:val="000000"/>
                <w:sz w:val="21"/>
                <w:szCs w:val="21"/>
              </w:rPr>
              <w:t xml:space="preserve">Meeting history store</w:t>
            </w:r>
          </w:p>
        </w:tc>
      </w:tr>
    </w:tbl>
    <w:p>
      <w:pPr>
        <w:pStyle w:val="Heading1"/>
      </w:pPr>
      <w:bookmarkStart w:id="100008" w:name="_Toc100008"/>
      <w:r>
        <w:t xml:space="preserve">4. Key Data Flows</w:t>
      </w:r>
      <w:bookmarkEnd w:id="100008"/>
    </w:p>
    <w:p>
      <w:pPr>
        <w:pStyle w:val="Heading2"/>
      </w:pPr>
      <w:bookmarkStart w:id="100009" w:name="_Toc100009"/>
      <w:r>
        <w:t xml:space="preserve">4.1 Capture Start Flow</w:t>
      </w:r>
      <w:bookmarkEnd w:id="100009"/>
    </w:p>
    <w:p>
      <w:pPr>
        <w:spacing w:after="120" w:line="312"/>
        <w:jc w:val="both"/>
      </w:pPr>
      <w:r>
        <w:rPr>
          <w:rFonts w:ascii="Times New Roman" w:eastAsia="Times New Roman"/>
          <w:color w:val="000000"/>
          <w:sz w:val="24"/>
          <w:szCs w:val="24"/>
        </w:rPr>
        <w:t xml:space="preserve">When the user clicks Start Capture, the UI invokes the start_capture Tauri command. The Rust core first spawns the Node sidecar with piped standard streams, then starts the audio capture thread (loopback and microphone streams plus a mixer), and finally starts a reader thread that consumes newline-delimited JSON from the sidecar's stdout and re-emits each event through the Tauri event bus to the UI. Ordering matters: the sidecar must exist before audio begins so that the first PCM1 frame has a live destination.</w:t>
      </w:r>
    </w:p>
    <w:p>
      <w:pPr>
        <w:pStyle w:val="Heading2"/>
      </w:pPr>
      <w:bookmarkStart w:id="100010" w:name="_Toc100010"/>
      <w:r>
        <w:t xml:space="preserve">4.2 Audio-to-Transcript Flow</w:t>
      </w:r>
      <w:bookmarkEnd w:id="100010"/>
    </w:p>
    <w:p>
      <w:pPr>
        <w:spacing w:after="120" w:line="312"/>
        <w:jc w:val="both"/>
      </w:pPr>
      <w:r>
        <w:rPr>
          <w:rFonts w:ascii="Times New Roman" w:eastAsia="Times New Roman"/>
          <w:color w:val="000000"/>
          <w:sz w:val="24"/>
          <w:szCs w:val="24"/>
        </w:rPr>
        <w:t xml:space="preserve">Audio callbacks deliver device-native samples (typically 48 kHz stereo float). The pipeline downmixes to mono, resamples to 16 kHz using an FFT resampler with 1024-sample input blocks, converts to 16-bit PCM and hands batches to a mixer thread that combines loopback and microphone signals with overflow clamping. The StreamingSink accumulates samples until 4000 (250 ms at 16 kHz) are buffered, then writes a PCM1 frame (8-byte header plus payload) to the sidecar. The sidecar validates the magic bytes, extracts the payload and forwards it to the AssemblyAI WebSocket. Partial and final transcripts return as JSON events and are relayed to the UI.</w:t>
      </w:r>
    </w:p>
    <w:p>
      <w:pPr>
        <w:pStyle w:val="Heading2"/>
      </w:pPr>
      <w:bookmarkStart w:id="100011" w:name="_Toc100011"/>
      <w:r>
        <w:t xml:space="preserve">4.3 Analysis Flow</w:t>
      </w:r>
      <w:bookmarkEnd w:id="100011"/>
    </w:p>
    <w:p>
      <w:pPr>
        <w:spacing w:after="120" w:line="312"/>
        <w:jc w:val="both"/>
      </w:pPr>
      <w:r>
        <w:rPr>
          <w:rFonts w:ascii="Times New Roman" w:eastAsia="Times New Roman"/>
          <w:color w:val="000000"/>
          <w:sz w:val="24"/>
          <w:szCs w:val="24"/>
        </w:rPr>
        <w:t xml:space="preserve">Final utterances accumulate in a semantic buffer inside the sidecar. The buffer flushes when it exceeds roughly fifteen words, when five seconds have elapsed since the last flush, or after two seconds of quiet. Each flushed chunk passes through the agent pipeline: the Context Manager always runs and grades the chunk as none, low, medium or high; chunks graded none or low stop there; medium chunks additionally receive a plain-language explanation; high chunks receive, in parallel, an explanation, a decision/action-item extraction and a suggested reply. Every stage that produces a result emits a typed JSON event.</w:t>
      </w:r>
    </w:p>
    <w:p>
      <w:pPr>
        <w:pStyle w:val="Heading2"/>
      </w:pPr>
      <w:bookmarkStart w:id="100012" w:name="_Toc100012"/>
      <w:r>
        <w:t xml:space="preserve">4.4 Stop and Teardown Flow</w:t>
      </w:r>
      <w:bookmarkEnd w:id="100012"/>
    </w:p>
    <w:p>
      <w:pPr>
        <w:spacing w:after="120" w:line="312"/>
        <w:jc w:val="both"/>
      </w:pPr>
      <w:r>
        <w:rPr>
          <w:rFonts w:ascii="Times New Roman" w:eastAsia="Times New Roman"/>
          <w:color w:val="000000"/>
          <w:sz w:val="24"/>
          <w:szCs w:val="24"/>
        </w:rPr>
        <w:t xml:space="preserve">The stop_capture command kills the sidecar child process. Closing the sidecar's stdin causes the Rust capture loop's writes to fail with a broken pipe, which terminates capture automatically — a deliberate design decision documented in the code. The sidecar, on stdin end, closes the STT session and finalises any pending database batches before exiting.</w:t>
      </w:r>
    </w:p>
    <w:p>
      <w:pPr>
        <w:pStyle w:val="Heading1"/>
      </w:pPr>
      <w:bookmarkStart w:id="100013" w:name="_Toc100013"/>
      <w:r>
        <w:t xml:space="preserve">5. Technology Stack and Rationale</w:t>
      </w:r>
      <w:bookmarkEnd w:id="100013"/>
    </w:p>
    <w:p>
      <w:pPr>
        <w:keepNext/>
        <w:spacing w:after="80" w:before="200" w:line="312"/>
      </w:pPr>
      <w:r>
        <w:rPr>
          <w:rFonts w:ascii="Times New Roman" w:eastAsia="Times New Roman"/>
          <w:b/>
          <w:bCs/>
          <w:color w:val="404040"/>
          <w:sz w:val="21"/>
          <w:szCs w:val="21"/>
        </w:rPr>
        <w:t xml:space="preserve">Table 5 — Technology Stack Assessment</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Layer</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Technology (version)</w:t>
            </w:r>
          </w:p>
        </w:tc>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Purpose</w:t>
            </w:r>
          </w:p>
        </w:tc>
        <w:tc>
          <w:tcPr>
            <w:tcW w:type="pct" w:w="3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Assessment</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Shell</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Tauri v2 (@tauri-apps/cli ^2.11.4)</w:t>
            </w:r>
          </w:p>
        </w:tc>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Native desktop window with webview UI</w:t>
            </w:r>
          </w:p>
        </w:tc>
        <w:tc>
          <w:tcPr>
            <w:tcW w:type="pct" w:w="34%"/>
            <w:tcMar>
              <w:top w:type="dxa" w:w="60"/>
              <w:left w:type="dxa" w:w="120"/>
              <w:bottom w:type="dxa" w:w="60"/>
              <w:right w:type="dxa" w:w="120"/>
            </w:tcMar>
          </w:tcPr>
          <w:p>
            <w:pPr>
              <w:spacing w:after="0" w:line="312"/>
            </w:pPr>
            <w:r>
              <w:rPr>
                <w:rFonts w:ascii="Times New Roman" w:eastAsia="Times New Roman"/>
                <w:color w:val="000000"/>
                <w:sz w:val="21"/>
                <w:szCs w:val="21"/>
              </w:rPr>
              <w:t xml:space="preserve">Appropriate: small footprint versus Electron, native Rust backend access</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Audio</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Rust + cpal 0.15.3</w:t>
            </w:r>
          </w:p>
        </w:tc>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Cross-platform audio capture incl. WASAPI loopback</w:t>
            </w:r>
          </w:p>
        </w:tc>
        <w:tc>
          <w:tcPr>
            <w:tcW w:type="pct" w:w="3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Appropriate: cpal exposes loopback capture transparently on Windows</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Audio</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rubato 0.16.2 (FftFixedIn)</w:t>
            </w:r>
          </w:p>
        </w:tc>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High-quality sample-rate conversion</w:t>
            </w:r>
          </w:p>
        </w:tc>
        <w:tc>
          <w:tcPr>
            <w:tcW w:type="pct" w:w="34%"/>
            <w:tcMar>
              <w:top w:type="dxa" w:w="60"/>
              <w:left w:type="dxa" w:w="120"/>
              <w:bottom w:type="dxa" w:w="60"/>
              <w:right w:type="dxa" w:w="120"/>
            </w:tcMar>
          </w:tcPr>
          <w:p>
            <w:pPr>
              <w:spacing w:after="0" w:line="312"/>
            </w:pPr>
            <w:r>
              <w:rPr>
                <w:rFonts w:ascii="Times New Roman" w:eastAsia="Times New Roman"/>
                <w:color w:val="000000"/>
                <w:sz w:val="21"/>
                <w:szCs w:val="21"/>
              </w:rPr>
              <w:t xml:space="preserve">Appropriate: FFT sinc interpolation is a quality-first choice for speech</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Frontend</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Vanilla TypeScript ~5.6, Vite ^6.0.3</w:t>
            </w:r>
          </w:p>
        </w:tc>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Reactive three-pane UI</w:t>
            </w:r>
          </w:p>
        </w:tc>
        <w:tc>
          <w:tcPr>
            <w:tcW w:type="pct" w:w="3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Acceptable at current scale; a component framework would be warranted if the UI grows materially</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Sidecar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Node.js 20+</w:t>
            </w:r>
          </w:p>
        </w:tc>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AI orchestration runtime</w:t>
            </w:r>
          </w:p>
        </w:tc>
        <w:tc>
          <w:tcPr>
            <w:tcW w:type="pct" w:w="34%"/>
            <w:tcMar>
              <w:top w:type="dxa" w:w="60"/>
              <w:left w:type="dxa" w:w="120"/>
              <w:bottom w:type="dxa" w:w="60"/>
              <w:right w:type="dxa" w:w="120"/>
            </w:tcMar>
          </w:tcPr>
          <w:p>
            <w:pPr>
              <w:spacing w:after="0" w:line="312"/>
            </w:pPr>
            <w:r>
              <w:rPr>
                <w:rFonts w:ascii="Times New Roman" w:eastAsia="Times New Roman"/>
                <w:color w:val="000000"/>
                <w:sz w:val="21"/>
                <w:szCs w:val="21"/>
              </w:rPr>
              <w:t xml:space="preserve">Appropriate: mature SDKs for both AI vendors</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STT</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assemblyai ^4.6.0</w:t>
            </w:r>
          </w:p>
        </w:tc>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Streaming speech-to-text</w:t>
            </w:r>
          </w:p>
        </w:tc>
        <w:tc>
          <w:tcPr>
            <w:tcW w:type="pct" w:w="3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Appropriate: v3 streaming protocol with end-of-turn detection fits the use case</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LLM</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@google/generative-ai ^0.24.0</w:t>
            </w:r>
          </w:p>
        </w:tc>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Multi-stage analysis</w:t>
            </w:r>
          </w:p>
        </w:tc>
        <w:tc>
          <w:tcPr>
            <w:tcW w:type="pct" w:w="34%"/>
            <w:tcMar>
              <w:top w:type="dxa" w:w="60"/>
              <w:left w:type="dxa" w:w="120"/>
              <w:bottom w:type="dxa" w:w="60"/>
              <w:right w:type="dxa" w:w="120"/>
            </w:tcMar>
          </w:tcPr>
          <w:p>
            <w:pPr>
              <w:spacing w:after="0" w:line="312"/>
            </w:pPr>
            <w:r>
              <w:rPr>
                <w:rFonts w:ascii="Times New Roman" w:eastAsia="Times New Roman"/>
                <w:color w:val="000000"/>
                <w:sz w:val="21"/>
                <w:szCs w:val="21"/>
              </w:rPr>
              <w:t xml:space="preserve">Appropriate: JSON-mode responses enable reliable structured extraction</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Database</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pg ^8.23.0 (PostgreSQL)</w:t>
            </w:r>
          </w:p>
        </w:tc>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Optional meeting persistence</w:t>
            </w:r>
          </w:p>
        </w:tc>
        <w:tc>
          <w:tcPr>
            <w:tcW w:type="pct" w:w="3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Appropriate: standard choice; optionality preserved by design</w:t>
            </w:r>
          </w:p>
        </w:tc>
      </w:tr>
    </w:tbl>
    <w:p>
      <w:pPr>
        <w:pStyle w:val="Heading1"/>
      </w:pPr>
      <w:bookmarkStart w:id="100014" w:name="_Toc100014"/>
      <w:r>
        <w:t xml:space="preserve">6. Integration Points</w:t>
      </w:r>
      <w:bookmarkEnd w:id="100014"/>
    </w:p>
    <w:p>
      <w:pPr>
        <w:pStyle w:val="Heading2"/>
      </w:pPr>
      <w:bookmarkStart w:id="100015" w:name="_Toc100015"/>
      <w:r>
        <w:t xml:space="preserve">6.1 AssemblyAI Streaming STT</w:t>
      </w:r>
      <w:bookmarkEnd w:id="100015"/>
    </w:p>
    <w:p>
      <w:pPr>
        <w:spacing w:after="120" w:line="312"/>
        <w:jc w:val="both"/>
      </w:pPr>
      <w:r>
        <w:rPr>
          <w:rFonts w:ascii="Times New Roman" w:eastAsia="Times New Roman"/>
          <w:color w:val="000000"/>
          <w:sz w:val="24"/>
          <w:szCs w:val="24"/>
        </w:rPr>
        <w:t xml:space="preserve">The sidecar maintains a single WebSocket session per capture, configured for 16 kHz PCM signed-16-bit little-endian audio with a 1000 ms end-of-utterance silence threshold and a 5-second connect timeout. The session is opened before stdin consumption begins, so audio is only forwarded once the connection is established; frames arriving before connection are dropped by design. Speaker labels are taken from the service when present and default to a single label otherwise.</w:t>
      </w:r>
    </w:p>
    <w:p>
      <w:pPr>
        <w:pStyle w:val="Heading2"/>
      </w:pPr>
      <w:bookmarkStart w:id="100016" w:name="_Toc100016"/>
      <w:r>
        <w:t xml:space="preserve">6.2 Google Gemini</w:t>
      </w:r>
      <w:bookmarkEnd w:id="100016"/>
    </w:p>
    <w:p>
      <w:pPr>
        <w:spacing w:after="120" w:line="312"/>
        <w:jc w:val="both"/>
      </w:pPr>
      <w:r>
        <w:rPr>
          <w:rFonts w:ascii="Times New Roman" w:eastAsia="Times New Roman"/>
          <w:color w:val="000000"/>
          <w:sz w:val="24"/>
          <w:szCs w:val="24"/>
        </w:rPr>
        <w:t xml:space="preserve">All LLM stages use a single fast model alias (gemini-flash-lite-latest), selected for latency and rate-limit headroom. Structured outputs are requested via JSON response MIME type with temperature zero for the classification and extraction stages; free-text stages request plain completions. Each prompt embeds rolling meeting state (current topic, summary, known technical terms), making the pipeline stateful across the meeting.</w:t>
      </w:r>
    </w:p>
    <w:p>
      <w:pPr>
        <w:pStyle w:val="Heading2"/>
      </w:pPr>
      <w:bookmarkStart w:id="100017" w:name="_Toc100017"/>
      <w:r>
        <w:t xml:space="preserve">6.3 PostgreSQL</w:t>
      </w:r>
      <w:bookmarkEnd w:id="100017"/>
    </w:p>
    <w:p>
      <w:pPr>
        <w:spacing w:after="120" w:line="312"/>
        <w:jc w:val="both"/>
      </w:pPr>
      <w:r>
        <w:rPr>
          <w:rFonts w:ascii="Times New Roman" w:eastAsia="Times New Roman"/>
          <w:color w:val="000000"/>
          <w:sz w:val="24"/>
          <w:szCs w:val="24"/>
        </w:rPr>
        <w:t xml:space="preserve">Persistence is activated only when a connection string is configured. The sidecar creates the schema on first use, opens one meeting record per session and writes in batches flushed every five seconds. Any initialisation failure disables persistence entirely and the application continues in memory mode — the degradation is silent by design and logged to the console.</w:t>
      </w:r>
    </w:p>
    <w:p>
      <w:pPr>
        <w:pStyle w:val="Heading1"/>
      </w:pPr>
      <w:bookmarkStart w:id="100018" w:name="_Toc100018"/>
      <w:r>
        <w:t xml:space="preserve">7. Resilience Design</w:t>
      </w:r>
      <w:bookmarkEnd w:id="100018"/>
    </w:p>
    <w:p>
      <w:pPr>
        <w:keepNext/>
        <w:spacing w:after="80" w:before="200" w:line="312"/>
      </w:pPr>
      <w:r>
        <w:rPr>
          <w:rFonts w:ascii="Times New Roman" w:eastAsia="Times New Roman"/>
          <w:b/>
          <w:bCs/>
          <w:color w:val="404040"/>
          <w:sz w:val="21"/>
          <w:szCs w:val="21"/>
        </w:rPr>
        <w:t xml:space="preserve">Table 6 — Resilience Mechanisms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tblGrid>
      <w:tr>
        <w:trPr>
          <w:cantSplit/>
          <w:tblHeader/>
        </w:trPr>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Mechanism</w:t>
            </w:r>
          </w:p>
        </w:tc>
        <w:tc>
          <w:tcPr>
            <w:tcW w:type="pct" w:w="2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Where</w:t>
            </w:r>
          </w:p>
        </w:tc>
        <w:tc>
          <w:tcPr>
            <w:tcW w:type="pct" w:w="5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Behaviour</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Circuit breaker</w:t>
            </w:r>
          </w:p>
        </w:tc>
        <w:tc>
          <w:tcPr>
            <w:tcW w:type="pct" w:w="20%"/>
            <w:tcMar>
              <w:top w:type="dxa" w:w="60"/>
              <w:left w:type="dxa" w:w="120"/>
              <w:bottom w:type="dxa" w:w="60"/>
              <w:right w:type="dxa" w:w="120"/>
            </w:tcMar>
          </w:tcPr>
          <w:p>
            <w:pPr>
              <w:spacing w:after="0" w:line="312"/>
            </w:pPr>
            <w:r>
              <w:rPr>
                <w:rFonts w:ascii="Times New Roman" w:eastAsia="Times New Roman"/>
                <w:color w:val="000000"/>
                <w:sz w:val="21"/>
                <w:szCs w:val="21"/>
              </w:rPr>
              <w:t xml:space="preserve">gateway/agent.js</w:t>
            </w:r>
          </w:p>
        </w:tc>
        <w:tc>
          <w:tcPr>
            <w:tcW w:type="pct" w:w="58%"/>
            <w:tcMar>
              <w:top w:type="dxa" w:w="60"/>
              <w:left w:type="dxa" w:w="120"/>
              <w:bottom w:type="dxa" w:w="60"/>
              <w:right w:type="dxa" w:w="120"/>
            </w:tcMar>
          </w:tcPr>
          <w:p>
            <w:pPr>
              <w:spacing w:after="0" w:line="312"/>
            </w:pPr>
            <w:r>
              <w:rPr>
                <w:rFonts w:ascii="Times New Roman" w:eastAsia="Times New Roman"/>
                <w:color w:val="000000"/>
                <w:sz w:val="21"/>
                <w:szCs w:val="21"/>
              </w:rPr>
              <w:t xml:space="preserve">Hard cap of 200 LLM API calls per meeting; further chunks short-circuit with a circuit_breaker signal and the UI reports the cost limit</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Significance gating</w:t>
            </w:r>
          </w:p>
        </w:tc>
        <w:tc>
          <w:tcPr>
            <w:tcW w:type="pct" w:w="2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gateway/agent.js</w:t>
            </w:r>
          </w:p>
        </w:tc>
        <w:tc>
          <w:tcPr>
            <w:tcW w:type="pct" w:w="5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Only medium/high chunks trigger explanation; only high chunks trigger analysis and response stages — bounds cost during chit-chat</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Graceful DB fallback</w:t>
            </w:r>
          </w:p>
        </w:tc>
        <w:tc>
          <w:tcPr>
            <w:tcW w:type="pct" w:w="20%"/>
            <w:tcMar>
              <w:top w:type="dxa" w:w="60"/>
              <w:left w:type="dxa" w:w="120"/>
              <w:bottom w:type="dxa" w:w="60"/>
              <w:right w:type="dxa" w:w="120"/>
            </w:tcMar>
          </w:tcPr>
          <w:p>
            <w:pPr>
              <w:spacing w:after="0" w:line="312"/>
            </w:pPr>
            <w:r>
              <w:rPr>
                <w:rFonts w:ascii="Times New Roman" w:eastAsia="Times New Roman"/>
                <w:color w:val="000000"/>
                <w:sz w:val="21"/>
                <w:szCs w:val="21"/>
              </w:rPr>
              <w:t xml:space="preserve">gateway/db.js</w:t>
            </w:r>
          </w:p>
        </w:tc>
        <w:tc>
          <w:tcPr>
            <w:tcW w:type="pct" w:w="58%"/>
            <w:tcMar>
              <w:top w:type="dxa" w:w="60"/>
              <w:left w:type="dxa" w:w="120"/>
              <w:bottom w:type="dxa" w:w="60"/>
              <w:right w:type="dxa" w:w="120"/>
            </w:tcMar>
          </w:tcPr>
          <w:p>
            <w:pPr>
              <w:spacing w:after="0" w:line="312"/>
            </w:pPr>
            <w:r>
              <w:rPr>
                <w:rFonts w:ascii="Times New Roman" w:eastAsia="Times New Roman"/>
                <w:color w:val="000000"/>
                <w:sz w:val="21"/>
                <w:szCs w:val="21"/>
              </w:rPr>
              <w:t xml:space="preserve">Missing or failing database disables persistence without interrupting capture or transcription</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Frame resynchronisation</w:t>
            </w:r>
          </w:p>
        </w:tc>
        <w:tc>
          <w:tcPr>
            <w:tcW w:type="pct" w:w="2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gateway/sidecar.js</w:t>
            </w:r>
          </w:p>
        </w:tc>
        <w:tc>
          <w:tcPr>
            <w:tcW w:type="pct" w:w="5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Corrupt or unknown bytes between PCM1 frames are skipped by scanning forward for the next magic sequence; implausibly large payloads are discarded</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Broken-pipe teardown</w:t>
            </w:r>
          </w:p>
        </w:tc>
        <w:tc>
          <w:tcPr>
            <w:tcW w:type="pct" w:w="20%"/>
            <w:tcMar>
              <w:top w:type="dxa" w:w="60"/>
              <w:left w:type="dxa" w:w="120"/>
              <w:bottom w:type="dxa" w:w="60"/>
              <w:right w:type="dxa" w:w="120"/>
            </w:tcMar>
          </w:tcPr>
          <w:p>
            <w:pPr>
              <w:spacing w:after="0" w:line="312"/>
            </w:pPr>
            <w:r>
              <w:rPr>
                <w:rFonts w:ascii="Times New Roman" w:eastAsia="Times New Roman"/>
                <w:color w:val="000000"/>
                <w:sz w:val="21"/>
                <w:szCs w:val="21"/>
              </w:rPr>
              <w:t xml:space="preserve">src-tauri/src/lib.rs</w:t>
            </w:r>
          </w:p>
        </w:tc>
        <w:tc>
          <w:tcPr>
            <w:tcW w:type="pct" w:w="58%"/>
            <w:tcMar>
              <w:top w:type="dxa" w:w="60"/>
              <w:left w:type="dxa" w:w="120"/>
              <w:bottom w:type="dxa" w:w="60"/>
              <w:right w:type="dxa" w:w="120"/>
            </w:tcMar>
          </w:tcPr>
          <w:p>
            <w:pPr>
              <w:spacing w:after="0" w:line="312"/>
            </w:pPr>
            <w:r>
              <w:rPr>
                <w:rFonts w:ascii="Times New Roman" w:eastAsia="Times New Roman"/>
                <w:color w:val="000000"/>
                <w:sz w:val="21"/>
                <w:szCs w:val="21"/>
              </w:rPr>
              <w:t xml:space="preserve">Killing the sidecar closes stdin; the capture loop detects the write failure and stops without a separate signalling path</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Per-stage error isolation</w:t>
            </w:r>
          </w:p>
        </w:tc>
        <w:tc>
          <w:tcPr>
            <w:tcW w:type="pct" w:w="2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gateway/agent.js</w:t>
            </w:r>
          </w:p>
        </w:tc>
        <w:tc>
          <w:tcPr>
            <w:tcW w:type="pct" w:w="5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Each analysis stage runs with its own catch handler; one failing stage degrades output but does not abort the pipeline</w:t>
            </w:r>
          </w:p>
        </w:tc>
      </w:tr>
    </w:tbl>
    <w:p>
      <w:pPr>
        <w:pStyle w:val="Heading1"/>
      </w:pPr>
      <w:bookmarkStart w:id="100019" w:name="_Toc100019"/>
      <w:r>
        <w:t xml:space="preserve">8. Architecture Risks and Considerations</w:t>
      </w:r>
      <w:bookmarkEnd w:id="100019"/>
    </w:p>
    <w:p>
      <w:pPr>
        <w:spacing w:after="120" w:line="312"/>
        <w:jc w:val="both"/>
      </w:pPr>
      <w:r>
        <w:rPr>
          <w:rFonts w:ascii="Times New Roman" w:eastAsia="Times New Roman"/>
          <w:color w:val="000000"/>
          <w:sz w:val="24"/>
          <w:szCs w:val="24"/>
        </w:rPr>
        <w:t xml:space="preserve">The following architectural risks are recorded here and carried into the RAID register (AMI-RAI-010).</w:t>
      </w:r>
    </w:p>
    <w:p>
      <w:pPr>
        <w:pStyle w:val="ListParagraph"/>
        <w:numPr>
          <w:ilvl w:val="0"/>
          <w:numId w:val="1"/>
        </w:numPr>
        <w:spacing w:after="60" w:line="312"/>
      </w:pPr>
      <w:r>
        <w:rPr>
          <w:rFonts w:ascii="Times New Roman" w:eastAsia="Times New Roman"/>
          <w:b/>
          <w:bCs/>
          <w:color w:val="000000"/>
          <w:sz w:val="24"/>
          <w:szCs w:val="24"/>
        </w:rPr>
        <w:t xml:space="preserve">Single-instance sidecar coupling. </w:t>
      </w:r>
      <w:r>
        <w:rPr>
          <w:rFonts w:ascii="Times New Roman" w:eastAsia="Times New Roman"/>
          <w:color w:val="000000"/>
          <w:sz w:val="24"/>
          <w:szCs w:val="24"/>
        </w:rPr>
        <w:t xml:space="preserve">All intelligence lives in one child process; an unhandled exception there halts AI features for the session. The process is not currently supervised or restarted.</w:t>
      </w:r>
    </w:p>
    <w:p>
      <w:pPr>
        <w:pStyle w:val="ListParagraph"/>
        <w:numPr>
          <w:ilvl w:val="0"/>
          <w:numId w:val="1"/>
        </w:numPr>
        <w:spacing w:after="60" w:line="312"/>
      </w:pPr>
      <w:r>
        <w:rPr>
          <w:rFonts w:ascii="Times New Roman" w:eastAsia="Times New Roman"/>
          <w:b/>
          <w:bCs/>
          <w:color w:val="000000"/>
          <w:sz w:val="24"/>
          <w:szCs w:val="24"/>
        </w:rPr>
        <w:t xml:space="preserve">Speaker attribution is nominal. </w:t>
      </w:r>
      <w:r>
        <w:rPr>
          <w:rFonts w:ascii="Times New Roman" w:eastAsia="Times New Roman"/>
          <w:color w:val="000000"/>
          <w:sz w:val="24"/>
          <w:szCs w:val="24"/>
        </w:rPr>
        <w:t xml:space="preserve">The pipeline passes through service-provided speaker labels but performs no diarisation; multi-party meetings will not reliably attribute speakers.</w:t>
      </w:r>
    </w:p>
    <w:p>
      <w:pPr>
        <w:pStyle w:val="ListParagraph"/>
        <w:numPr>
          <w:ilvl w:val="0"/>
          <w:numId w:val="1"/>
        </w:numPr>
        <w:spacing w:after="60" w:line="312"/>
      </w:pPr>
      <w:r>
        <w:rPr>
          <w:rFonts w:ascii="Times New Roman" w:eastAsia="Times New Roman"/>
          <w:b/>
          <w:bCs/>
          <w:color w:val="000000"/>
          <w:sz w:val="24"/>
          <w:szCs w:val="24"/>
        </w:rPr>
        <w:t xml:space="preserve">State is per-session and in-memory. </w:t>
      </w:r>
      <w:r>
        <w:rPr>
          <w:rFonts w:ascii="Times New Roman" w:eastAsia="Times New Roman"/>
          <w:color w:val="000000"/>
          <w:sz w:val="24"/>
          <w:szCs w:val="24"/>
        </w:rPr>
        <w:t xml:space="preserve">Rolling topic, summary and term glossary are lost when the sidecar exits; no cross-meeting learning exists today.</w:t>
      </w:r>
    </w:p>
    <w:p>
      <w:pPr>
        <w:pStyle w:val="ListParagraph"/>
        <w:numPr>
          <w:ilvl w:val="0"/>
          <w:numId w:val="1"/>
        </w:numPr>
        <w:spacing w:after="60" w:line="312"/>
      </w:pPr>
      <w:r>
        <w:rPr>
          <w:rFonts w:ascii="Times New Roman" w:eastAsia="Times New Roman"/>
          <w:b/>
          <w:bCs/>
          <w:color w:val="000000"/>
          <w:sz w:val="24"/>
          <w:szCs w:val="24"/>
        </w:rPr>
        <w:t xml:space="preserve">Vendor concentration. </w:t>
      </w:r>
      <w:r>
        <w:rPr>
          <w:rFonts w:ascii="Times New Roman" w:eastAsia="Times New Roman"/>
          <w:color w:val="000000"/>
          <w:sz w:val="24"/>
          <w:szCs w:val="24"/>
        </w:rPr>
        <w:t xml:space="preserve">Both the STT and LLM capabilities depend on two cloud vendors with no abstraction layer; the Data Architecture document discusses the coupling at interface level.</w:t>
      </w:r>
    </w:p>
    <w:p>
      <w:pPr>
        <w:pStyle w:val="ListParagraph"/>
        <w:numPr>
          <w:ilvl w:val="0"/>
          <w:numId w:val="1"/>
        </w:numPr>
        <w:spacing w:after="60" w:line="312"/>
      </w:pPr>
      <w:r>
        <w:rPr>
          <w:rFonts w:ascii="Times New Roman" w:eastAsia="Times New Roman"/>
          <w:b/>
          <w:bCs/>
          <w:color w:val="000000"/>
          <w:sz w:val="24"/>
          <w:szCs w:val="24"/>
        </w:rPr>
        <w:t xml:space="preserve">Windows-centric capture. </w:t>
      </w:r>
      <w:r>
        <w:rPr>
          <w:rFonts w:ascii="Times New Roman" w:eastAsia="Times New Roman"/>
          <w:color w:val="000000"/>
          <w:sz w:val="24"/>
          <w:szCs w:val="24"/>
        </w:rPr>
        <w:t xml:space="preserve">WASAPI loopback is Windows-native; capture behaviour on macOS/Linux depends on cpal backend capabilities and has not been validated by this review.</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jc w:val="right"/>
    </w:pPr>
    <w:r>
      <w:rPr>
        <w:rFonts w:ascii="Times New Roman" w:eastAsia="Times New Roman"/>
        <w:color w:val="A0A0A0"/>
        <w:sz w:val="16"/>
        <w:szCs w:val="16"/>
      </w:rPr>
      <w:t xml:space="preserve">Solution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000000"/>
      <w:sz w:val="32"/>
      <w:szCs w:val="32"/>
    </w:rPr>
  </w:style>
  <w:style w:type="paragraph" w:styleId="Heading2">
    <w:name w:val="Heading 2"/>
    <w:basedOn w:val="Normal"/>
    <w:next w:val="Normal"/>
    <w:qFormat/>
    <w:pPr>
      <w:spacing w:after="120" w:before="280" w:line="312"/>
      <w:outlineLvl w:val="1"/>
    </w:pPr>
    <w:rPr>
      <w:rFonts w:ascii="Times New Roman" w:eastAsia="Times New Roman"/>
      <w:b/>
      <w:bCs/>
      <w:color w:val="000000"/>
      <w:sz w:val="28"/>
      <w:szCs w:val="28"/>
    </w:rPr>
  </w:style>
  <w:style w:type="paragraph" w:styleId="Heading3">
    <w:name w:val="Heading 3"/>
    <w:basedOn w:val="Normal"/>
    <w:next w:val="Normal"/>
    <w:qFormat/>
    <w:pPr>
      <w:spacing w:after="100" w:before="240" w:line="312"/>
      <w:outlineLvl w:val="2"/>
    </w:pPr>
    <w:rPr>
      <w:rFonts w:ascii="Times New Roman" w:eastAsia="Times New Roman"/>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Document</dc:title>
  <dc:creator>Technology Advisory Practice</dc:creator>
  <cp:lastModifiedBy>Un-named</cp:lastModifiedBy>
  <cp:revision>1</cp:revision>
  <dcterms:created xsi:type="dcterms:W3CDTF">2026-08-18T04:50:54.134Z</dcterms:created>
  <dcterms:modified xsi:type="dcterms:W3CDTF">2026-08-18T04:50:54.134Z</dcterms:modified>
</cp:coreProperties>
</file>

<file path=docProps/custom.xml><?xml version="1.0" encoding="utf-8"?>
<Properties xmlns="http://schemas.openxmlformats.org/officeDocument/2006/custom-properties" xmlns:vt="http://schemas.openxmlformats.org/officeDocument/2006/docPropsVTypes"/>
</file>