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3F1ED" w:val="clear"/>
            <w:vAlign w:val="top"/>
          </w:tcPr>
          <w:p>
            <w:pPr>
              <w:spacing w:before="4241"/>
            </w:pPr>
          </w:p>
          <w:p>
            <w:pPr>
              <w:pBdr>
                <w:bottom w:val="single" w:color="D6C096" w:sz="6" w:space="8"/>
              </w:pBdr>
              <w:spacing w:after="500"/>
              <w:ind w:left="1200" w:right="800"/>
            </w:pPr>
            <w:r>
              <w:rPr>
                <w:rFonts w:ascii="Times New Roman" w:eastAsia="Times New Roman"/>
                <w:color w:val="9A8455"/>
                <w:spacing w:val="40"/>
                <w:sz w:val="18"/>
                <w:szCs w:val="18"/>
              </w:rPr>
              <w:t xml:space="preserve">T  E  C  H  N  O  L  O  G  Y     A  D  V  I  S  O  R  Y</w:t>
            </w:r>
          </w:p>
          <w:p>
            <w:pPr>
              <w:spacing w:after="100" w:line="920" w:lineRule="atLeast"/>
              <w:ind w:left="1200"/>
            </w:pPr>
            <w:r>
              <w:rPr>
                <w:rFonts w:ascii="Times New Roman" w:eastAsia="Times New Roman"/>
                <w:b/>
                <w:bCs/>
                <w:color w:val="000000"/>
                <w:sz w:val="80"/>
                <w:szCs w:val="80"/>
              </w:rPr>
              <w:t xml:space="preserve">Functional</w:t>
            </w:r>
          </w:p>
          <w:p>
            <w:pPr>
              <w:spacing w:after="300" w:line="920" w:lineRule="atLeast"/>
              <w:ind w:left="1200"/>
            </w:pPr>
            <w:r>
              <w:rPr>
                <w:rFonts w:ascii="Times New Roman" w:eastAsia="Times New Roman"/>
                <w:b/>
                <w:bCs/>
                <w:color w:val="000000"/>
                <w:sz w:val="80"/>
                <w:szCs w:val="80"/>
              </w:rPr>
              <w:t xml:space="preserve">Specification</w:t>
            </w:r>
          </w:p>
          <w:p>
            <w:pPr>
              <w:spacing w:after="800"/>
              <w:ind w:left="1200"/>
            </w:pPr>
            <w:r>
              <w:rPr>
                <w:rFonts w:ascii="Times New Roman" w:eastAsia="Times New Roman"/>
                <w:color w:val="606060"/>
                <w:sz w:val="24"/>
                <w:szCs w:val="24"/>
              </w:rPr>
              <w:t xml:space="preserve">AI Meeting Interpreter — Behaviour, Interface and User Flows</w:t>
            </w:r>
          </w:p>
          <w:p>
            <w:pPr>
              <w:pBdr>
                <w:left w:val="single" w:color="D6C096" w:sz="8" w:space="12"/>
              </w:pBdr>
              <w:spacing w:after="80"/>
              <w:ind w:left="1400"/>
            </w:pPr>
            <w:r>
              <w:rPr>
                <w:rFonts w:ascii="Times New Roman" w:eastAsia="Times New Roman"/>
                <w:color w:val="707070"/>
                <w:sz w:val="24"/>
                <w:szCs w:val="24"/>
              </w:rPr>
              <w:t xml:space="preserve">Document AMI-FSD-003  ·  Version 1.0</w:t>
            </w:r>
          </w:p>
          <w:p>
            <w:pPr>
              <w:pBdr>
                <w:left w:val="single" w:color="D6C096" w:sz="8" w:space="12"/>
              </w:pBdr>
              <w:spacing w:after="80"/>
              <w:ind w:left="1400"/>
            </w:pPr>
            <w:r>
              <w:rPr>
                <w:rFonts w:ascii="Times New Roman" w:eastAsia="Times New Roman"/>
                <w:color w:val="707070"/>
                <w:sz w:val="24"/>
                <w:szCs w:val="24"/>
              </w:rPr>
              <w:t xml:space="preserve">Date of issue: 18 August 2026</w:t>
            </w:r>
          </w:p>
          <w:p>
            <w:pPr>
              <w:pBdr>
                <w:left w:val="single" w:color="D6C096" w:sz="8" w:space="12"/>
              </w:pBdr>
              <w:spacing w:after="80"/>
              <w:ind w:left="1400"/>
            </w:pPr>
            <w:r>
              <w:rPr>
                <w:rFonts w:ascii="Times New Roman" w:eastAsia="Times New Roman"/>
                <w:color w:val="707070"/>
                <w:sz w:val="24"/>
                <w:szCs w:val="24"/>
              </w:rPr>
              <w:t xml:space="preserve">Classification: Client Confidential</w:t>
            </w:r>
          </w:p>
          <w:p>
            <w:pPr>
              <w:spacing w:before="4241"/>
            </w:pPr>
          </w:p>
          <w:p>
            <w:pPr>
              <w:pBdr>
                <w:top w:val="single" w:color="D6C096" w:sz="2" w:space="8"/>
              </w:pBdr>
              <w:spacing w:before="200"/>
              <w:ind w:left="1200" w:right="800"/>
            </w:pPr>
            <w:r>
              <w:rPr>
                <w:rFonts w:ascii="Times New Roman" w:eastAsia="Times New Roman"/>
                <w:color w:val="A0A0A0"/>
                <w:sz w:val="16"/>
                <w:szCs w:val="16"/>
              </w:rPr>
              <w:t xml:space="preserve">AI Meeting Interpreter</w:t>
            </w:r>
            <w:r>
              <w:t xml:space="preserve">                                                        </w:t>
            </w:r>
            <w:r>
              <w:rPr>
                <w:rFonts w:ascii="Times New Roman" w:eastAsia="Times New Roman"/>
                <w:color w:val="A0A0A0"/>
                <w:sz w:val="16"/>
                <w:szCs w:val="16"/>
              </w:rPr>
              <w:t xml:space="preserve">18 August 2026</w:t>
            </w:r>
          </w:p>
        </w:tc>
      </w:tr>
    </w:tbl>
    <w:p>
      <w:pPr>
        <w:sectPr>
          <w:pgSz w:w="11906" w:h="16838" w:orient="portrait"/>
          <w:pgMar w:top="0" w:right="0" w:bottom="0" w:left="0" w:header="708" w:footer="708" w:gutter="0"/>
          <w:docGrid w:linePitch="360"/>
        </w:sectPr>
      </w:pPr>
    </w:p>
    <w:p>
      <w:pPr>
        <w:spacing w:after="240" w:before="120" w:line="312"/>
        <w:jc w:val="left"/>
      </w:pPr>
      <w:r>
        <w:rPr>
          <w:rFonts w:ascii="Times New Roman" w:eastAsia="Times New Roman"/>
          <w:b/>
          <w:bCs/>
          <w:color w:val="000000"/>
          <w:sz w:val="32"/>
          <w:szCs w:val="32"/>
        </w:rPr>
        <w:t xml:space="preserve">Document Control</w:t>
      </w:r>
    </w:p>
    <w:p>
      <w:pPr>
        <w:spacing w:after="120" w:line="312"/>
      </w:pPr>
      <w:r>
        <w:rPr>
          <w:rFonts w:ascii="Times New Roman" w:eastAsia="Times New Roman"/>
          <w:color w:val="404040"/>
          <w:sz w:val="22"/>
          <w:szCs w:val="22"/>
        </w:rPr>
        <w:t xml:space="preserve">The following table records the ownership, status and classification of this document.</w:t>
      </w:r>
    </w:p>
    <w:tbl>
      <w:tblPr>
        <w:tblW w:type="pct" w:w="100%"/>
        <w:tblBorders>
          <w:top w:val="single" w:color="000000" w:sz="2"/>
          <w:left w:val="none"/>
          <w:bottom w:val="single" w:color="000000" w:sz="2"/>
          <w:right w:val="none"/>
          <w:insideH w:val="single" w:color="DDD8CC" w:sz="1"/>
          <w:insideV w:val="none"/>
        </w:tblBorders>
      </w:tblPr>
      <w:tblGrid>
        <w:gridCol w:w="100"/>
        <w:gridCol w:w="100"/>
      </w:tblGrid>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Document Title</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Functional Specification</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Document Identifier</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AMI-FSD-003</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Version</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1.0</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Status</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Issued</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Date of Issue</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Prepared By</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 Practice</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Client / Engagement</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AI Meeting Interpreter — Independent Technology Review</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Classification</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Client Confidential</w:t>
            </w:r>
          </w:p>
        </w:tc>
      </w:tr>
    </w:tbl>
    <w:p>
      <w:pPr>
        <w:spacing w:after="160" w:before="160"/>
      </w:pPr>
    </w:p>
    <w:p>
      <w:pPr>
        <w:spacing w:after="80" w:before="120" w:line="312"/>
      </w:pPr>
      <w:r>
        <w:rPr>
          <w:rFonts w:ascii="Times New Roman" w:eastAsia="Times New Roman"/>
          <w:b/>
          <w:bCs/>
          <w:color w:val="000000"/>
          <w:sz w:val="24"/>
          <w:szCs w:val="24"/>
        </w:rPr>
        <w:t xml:space="preserve">Version History</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1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Version</w:t>
            </w:r>
          </w:p>
        </w:tc>
        <w:tc>
          <w:tcPr>
            <w:tcW w:type="pct" w:w="1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Date</w:t>
            </w:r>
          </w:p>
        </w:tc>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Author</w:t>
            </w:r>
          </w:p>
        </w:tc>
        <w:tc>
          <w:tcPr>
            <w:tcW w:type="pct" w:w="4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Description of Change</w:t>
            </w:r>
          </w:p>
        </w:tc>
      </w:tr>
      <w:tr>
        <w:trPr>
          <w:cantSplit/>
        </w:trPr>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0.1</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w:t>
            </w:r>
          </w:p>
        </w:tc>
        <w:tc>
          <w:tcPr>
            <w:tcW w:type="pct" w:w="48%"/>
            <w:tcMar>
              <w:top w:type="dxa" w:w="60"/>
              <w:left w:type="dxa" w:w="120"/>
              <w:bottom w:type="dxa" w:w="60"/>
              <w:right w:type="dxa" w:w="120"/>
            </w:tcMar>
          </w:tcPr>
          <w:p>
            <w:pPr>
              <w:spacing w:after="0" w:line="312"/>
            </w:pPr>
            <w:r>
              <w:rPr>
                <w:rFonts w:ascii="Times New Roman" w:eastAsia="Times New Roman"/>
                <w:color w:val="000000"/>
                <w:sz w:val="21"/>
                <w:szCs w:val="21"/>
              </w:rPr>
              <w:t xml:space="preserve">Initial working draft produced from repository inspection.</w:t>
            </w:r>
          </w:p>
        </w:tc>
      </w:tr>
      <w:tr>
        <w:trPr>
          <w:cantSplit/>
        </w:trPr>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1.0</w:t>
            </w:r>
          </w:p>
        </w:tc>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w:t>
            </w:r>
          </w:p>
        </w:tc>
        <w:tc>
          <w:tcPr>
            <w:tcW w:type="pct" w:w="4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First issued version for client review.</w:t>
            </w:r>
          </w:p>
        </w:tc>
      </w:tr>
    </w:tbl>
    <w:p>
      <w:pPr>
        <w:spacing w:after="160" w:before="160"/>
      </w:pPr>
    </w:p>
    <w:p>
      <w:pPr>
        <w:spacing w:after="80" w:before="120" w:line="312"/>
      </w:pPr>
      <w:r>
        <w:rPr>
          <w:rFonts w:ascii="Times New Roman" w:eastAsia="Times New Roman"/>
          <w:b/>
          <w:bCs/>
          <w:color w:val="000000"/>
          <w:sz w:val="24"/>
          <w:szCs w:val="24"/>
        </w:rPr>
        <w:t xml:space="preserve">Distribution &amp; Approval</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2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Name</w:t>
            </w:r>
          </w:p>
        </w:tc>
        <w:tc>
          <w:tcPr>
            <w:tcW w:type="pct" w:w="2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Role</w:t>
            </w:r>
          </w:p>
        </w:tc>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Action</w:t>
            </w:r>
          </w:p>
        </w:tc>
        <w:tc>
          <w:tcPr>
            <w:tcW w:type="pct" w:w="2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Date</w:t>
            </w:r>
          </w:p>
        </w:tc>
      </w:tr>
      <w:tr>
        <w:trPr>
          <w:cantSplit/>
        </w:trPr>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【Client Sponsor】</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Product Owner</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Approve</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r>
        <w:trPr>
          <w:cantSplit/>
        </w:trPr>
        <w:tc>
          <w:tcPr>
            <w:tcW w:type="pct" w:w="2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【Engineering Lead】</w:t>
            </w:r>
          </w:p>
        </w:tc>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Technical Authority</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Review</w:t>
            </w:r>
          </w:p>
        </w:tc>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r>
        <w:trPr>
          <w:cantSplit/>
        </w:trPr>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【Security Officer】</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Information Security</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Review</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bl>
    <w:p>
      <w:pPr>
        <w:pageBreakBefore/>
        <w:spacing w:after="360" w:before="240" w:line="312"/>
        <w:jc w:val="center"/>
      </w:pPr>
      <w:r>
        <w:rPr>
          <w:rFonts w:ascii="Times New Roman" w:eastAsia="Times New Roman"/>
          <w:b/>
          <w:bCs/>
          <w:color w:val="00000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Product Overview and Personas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Feature Inventory</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User Interface Specification</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4.1 Window and Layout</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4.2 Top Bar</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4.3 Pane 1 — Live Transcript</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4.4 Pane 2 — Plain-Language Context</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4.5 Pane 3 — Suggested Response &amp; Insights</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5. End-to-End User Flow</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6. IPC Command Catalogue</w:t>
            </w:r>
            <w:r>
              <w:tab/>
            </w:r>
            <w:r>
              <w:fldChar w:fldCharType="begin"/>
            </w:r>
            <w:r>
              <w:instrText xml:space="preserve"> PAGEREF _Toc100010 \h </w:instrText>
            </w:r>
            <w:r>
              <w:fldChar w:fldCharType="separate"/>
            </w:r>
            <w:r>
              <w:t>4</w:t>
            </w:r>
            <w:r>
              <w:fldChar w:fldCharType="end"/>
            </w:r>
          </w:hyperlink>
        </w:p>
        <w:p>
          <w:pPr>
            <w:pStyle w:val="9"/>
            <w:tabs>
              <w:tab w:val="right" w:leader="dot" w:pos="9026"/>
            </w:tabs>
            <w:spacing w:before="120" w:after="60"/>
          </w:pPr>
          <w:hyperlink w:anchor="_Toc100011" w:history="1">
            <w:r>
              <w:rPr>
                <w:rStyle w:val="Hyperlink"/>
              </w:rPr>
              <w:t>7. Event Catalogue</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8. Significance Grading Behaviour</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9. Error and Circuit-Breaker Behaviour</w:t>
            </w:r>
            <w:r>
              <w:tab/>
            </w:r>
            <w:r>
              <w:fldChar w:fldCharType="begin"/>
            </w:r>
            <w:r>
              <w:instrText xml:space="preserve"> PAGEREF _Toc100013 \h </w:instrText>
            </w:r>
            <w:r>
              <w:fldChar w:fldCharType="separate"/>
            </w:r>
            <w:r>
              <w:t>6</w:t>
            </w:r>
            <w:r>
              <w:fldChar w:fldCharType="end"/>
            </w:r>
          </w:hyperlink>
        </w:p>
        <w:p>
          <w:pPr>
            <w:pStyle w:val="9"/>
            <w:tabs>
              <w:tab w:val="right" w:leader="dot" w:pos="9026"/>
            </w:tabs>
            <w:spacing w:before="120" w:after="60"/>
          </w:pPr>
          <w:hyperlink w:anchor="_Toc100014" w:history="1">
            <w:r>
              <w:rPr>
                <w:rStyle w:val="Hyperlink"/>
              </w:rPr>
              <w:t>10. Non-Functional Requirements</w:t>
            </w:r>
            <w:r>
              <w:tab/>
            </w:r>
            <w:r>
              <w:fldChar w:fldCharType="begin"/>
            </w:r>
            <w:r>
              <w:instrText xml:space="preserve"> PAGEREF _Toc100014 \h </w:instrText>
            </w:r>
            <w:r>
              <w:fldChar w:fldCharType="separate"/>
            </w:r>
            <w:r>
              <w:t>6</w:t>
            </w:r>
            <w:r>
              <w:fldChar w:fldCharType="end"/>
            </w:r>
          </w:hyperlink>
        </w:p>
        <w:p>
          <w:r>
            <w:fldChar w:fldCharType="end"/>
          </w:r>
        </w:p>
      </w:sdtContent>
    </w:sdt>
    <w:p>
      <w:pPr>
        <w:spacing w:before="200" w:line="312"/>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pPr>
      <w:bookmarkStart w:id="100000" w:name="_Toc100000"/>
      <w:r>
        <w:t xml:space="preserve">1. Introduction</w:t>
      </w:r>
      <w:bookmarkEnd w:id="100000"/>
    </w:p>
    <w:p>
      <w:pPr>
        <w:spacing w:after="120" w:line="312"/>
        <w:jc w:val="both"/>
      </w:pPr>
      <w:r>
        <w:rPr>
          <w:rFonts w:ascii="Times New Roman" w:eastAsia="Times New Roman"/>
          <w:color w:val="000000"/>
          <w:sz w:val="24"/>
          <w:szCs w:val="24"/>
        </w:rPr>
        <w:t xml:space="preserve">This Functional Specification describes the externally visible behaviour of the AI Meeting Interpreter: its features, user interface, user flows and the command/event contracts between the interface and the backend. It reflects the implemented behaviour observed in the repository, not aspirational functionality. Interface wire formats are specified in detail in AMI-DAI-005.</w:t>
      </w:r>
    </w:p>
    <w:p>
      <w:pPr>
        <w:pStyle w:val="Heading1"/>
      </w:pPr>
      <w:bookmarkStart w:id="100001" w:name="_Toc100001"/>
      <w:r>
        <w:t xml:space="preserve">2. Product Overview and Personas</w:t>
      </w:r>
      <w:bookmarkEnd w:id="100001"/>
    </w:p>
    <w:p>
      <w:pPr>
        <w:spacing w:after="120" w:line="312"/>
        <w:jc w:val="both"/>
      </w:pPr>
      <w:r>
        <w:rPr>
          <w:rFonts w:ascii="Times New Roman" w:eastAsia="Times New Roman"/>
          <w:color w:val="000000"/>
          <w:sz w:val="24"/>
          <w:szCs w:val="24"/>
        </w:rPr>
        <w:t xml:space="preserve">The product is a single-window desktop application that joins the user's audio environment, transcribes what it hears, and interprets it in real time. The primary persona is a professional participating in technical meetings who is not fully fluent in the technical domain — for example a product manager, a new joiner, or a cross-functional stakeholder. A secondary persona is the technical participant who wants an automatic record of decisions and action items without taking notes.</w:t>
      </w:r>
    </w:p>
    <w:p>
      <w:pPr>
        <w:pStyle w:val="Heading1"/>
      </w:pPr>
      <w:bookmarkStart w:id="100002" w:name="_Toc100002"/>
      <w:r>
        <w:t xml:space="preserve">3. Feature Inventory</w:t>
      </w:r>
      <w:bookmarkEnd w:id="100002"/>
    </w:p>
    <w:p>
      <w:pPr>
        <w:keepNext/>
        <w:spacing w:after="80" w:before="200" w:line="312"/>
      </w:pPr>
      <w:r>
        <w:rPr>
          <w:rFonts w:ascii="Times New Roman" w:eastAsia="Times New Roman"/>
          <w:b/>
          <w:bCs/>
          <w:color w:val="404040"/>
          <w:sz w:val="21"/>
          <w:szCs w:val="21"/>
        </w:rPr>
        <w:t xml:space="preserve">Table 7 — Feature Register</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ID</w:t>
            </w:r>
          </w:p>
        </w:tc>
        <w:tc>
          <w:tcPr>
            <w:tcW w:type="pct" w:w="2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Feature</w:t>
            </w:r>
          </w:p>
        </w:tc>
        <w:tc>
          <w:tcPr>
            <w:tcW w:type="pct" w:w="55%"/>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Description</w:t>
            </w:r>
          </w:p>
        </w:tc>
        <w:tc>
          <w:tcPr>
            <w:tcW w:type="pct" w:w="15%"/>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Status</w:t>
            </w:r>
          </w:p>
        </w:tc>
      </w:tr>
      <w:tr>
        <w:trPr>
          <w:cantSplit/>
        </w:trPr>
        <w:tc>
          <w:tcPr>
            <w:tcW w:type="pct" w:w="8%"/>
            <w:tcMar>
              <w:top w:type="dxa" w:w="60"/>
              <w:left w:type="dxa" w:w="120"/>
              <w:bottom w:type="dxa" w:w="60"/>
              <w:right w:type="dxa" w:w="120"/>
            </w:tcMar>
          </w:tcPr>
          <w:p>
            <w:pPr>
              <w:spacing w:after="0" w:line="312"/>
            </w:pPr>
            <w:r>
              <w:rPr>
                <w:rFonts w:ascii="Times New Roman" w:eastAsia="Times New Roman"/>
                <w:color w:val="000000"/>
                <w:sz w:val="21"/>
                <w:szCs w:val="21"/>
              </w:rPr>
              <w:t xml:space="preserve">FR-01</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Hybrid audio capture</w:t>
            </w:r>
          </w:p>
        </w:tc>
        <w:tc>
          <w:tcPr>
            <w:tcW w:type="pct" w:w="55%"/>
            <w:tcMar>
              <w:top w:type="dxa" w:w="60"/>
              <w:left w:type="dxa" w:w="120"/>
              <w:bottom w:type="dxa" w:w="60"/>
              <w:right w:type="dxa" w:w="120"/>
            </w:tcMar>
          </w:tcPr>
          <w:p>
            <w:pPr>
              <w:spacing w:after="0" w:line="312"/>
            </w:pPr>
            <w:r>
              <w:rPr>
                <w:rFonts w:ascii="Times New Roman" w:eastAsia="Times New Roman"/>
                <w:color w:val="000000"/>
                <w:sz w:val="21"/>
                <w:szCs w:val="21"/>
              </w:rPr>
              <w:t xml:space="preserve">Simultaneous capture of system output (loopback) and microphone, mixed and resampled to 16 kHz mono PCM16</w:t>
            </w:r>
          </w:p>
        </w:tc>
        <w:tc>
          <w:tcPr>
            <w:tcW w:type="pct" w:w="15%"/>
            <w:tcMar>
              <w:top w:type="dxa" w:w="60"/>
              <w:left w:type="dxa" w:w="120"/>
              <w:bottom w:type="dxa" w:w="60"/>
              <w:right w:type="dxa" w:w="120"/>
            </w:tcMar>
          </w:tcPr>
          <w:p>
            <w:pPr>
              <w:spacing w:after="0" w:line="312"/>
            </w:pPr>
            <w:r>
              <w:rPr>
                <w:rFonts w:ascii="Times New Roman" w:eastAsia="Times New Roman"/>
                <w:color w:val="000000"/>
                <w:sz w:val="21"/>
                <w:szCs w:val="21"/>
              </w:rPr>
              <w:t xml:space="preserve">Implemented</w:t>
            </w:r>
          </w:p>
        </w:tc>
      </w:tr>
      <w:tr>
        <w:trPr>
          <w:cantSplit/>
        </w:trPr>
        <w:tc>
          <w:tcPr>
            <w:tcW w:type="pct" w:w="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FR-02</w:t>
            </w:r>
          </w:p>
        </w:tc>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Live transcription</w:t>
            </w:r>
          </w:p>
        </w:tc>
        <w:tc>
          <w:tcPr>
            <w:tcW w:type="pct" w:w="5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Streaming speech-to-text with partial results and end-of-turn finalisation; default speaker label applied</w:t>
            </w:r>
          </w:p>
        </w:tc>
        <w:tc>
          <w:tcPr>
            <w:tcW w:type="pct" w:w="1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Implemented</w:t>
            </w:r>
          </w:p>
        </w:tc>
      </w:tr>
      <w:tr>
        <w:trPr>
          <w:cantSplit/>
        </w:trPr>
        <w:tc>
          <w:tcPr>
            <w:tcW w:type="pct" w:w="8%"/>
            <w:tcMar>
              <w:top w:type="dxa" w:w="60"/>
              <w:left w:type="dxa" w:w="120"/>
              <w:bottom w:type="dxa" w:w="60"/>
              <w:right w:type="dxa" w:w="120"/>
            </w:tcMar>
          </w:tcPr>
          <w:p>
            <w:pPr>
              <w:spacing w:after="0" w:line="312"/>
            </w:pPr>
            <w:r>
              <w:rPr>
                <w:rFonts w:ascii="Times New Roman" w:eastAsia="Times New Roman"/>
                <w:color w:val="000000"/>
                <w:sz w:val="21"/>
                <w:szCs w:val="21"/>
              </w:rPr>
              <w:t xml:space="preserve">FR-03</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Plain-language context</w:t>
            </w:r>
          </w:p>
        </w:tc>
        <w:tc>
          <w:tcPr>
            <w:tcW w:type="pct" w:w="55%"/>
            <w:tcMar>
              <w:top w:type="dxa" w:w="60"/>
              <w:left w:type="dxa" w:w="120"/>
              <w:bottom w:type="dxa" w:w="60"/>
              <w:right w:type="dxa" w:w="120"/>
            </w:tcMar>
          </w:tcPr>
          <w:p>
            <w:pPr>
              <w:spacing w:after="0" w:line="312"/>
            </w:pPr>
            <w:r>
              <w:rPr>
                <w:rFonts w:ascii="Times New Roman" w:eastAsia="Times New Roman"/>
                <w:color w:val="000000"/>
                <w:sz w:val="21"/>
                <w:szCs w:val="21"/>
              </w:rPr>
              <w:t xml:space="preserve">Technical discussion translated into 1–3 sentence explanations for non-technical listeners</w:t>
            </w:r>
          </w:p>
        </w:tc>
        <w:tc>
          <w:tcPr>
            <w:tcW w:type="pct" w:w="15%"/>
            <w:tcMar>
              <w:top w:type="dxa" w:w="60"/>
              <w:left w:type="dxa" w:w="120"/>
              <w:bottom w:type="dxa" w:w="60"/>
              <w:right w:type="dxa" w:w="120"/>
            </w:tcMar>
          </w:tcPr>
          <w:p>
            <w:pPr>
              <w:spacing w:after="0" w:line="312"/>
            </w:pPr>
            <w:r>
              <w:rPr>
                <w:rFonts w:ascii="Times New Roman" w:eastAsia="Times New Roman"/>
                <w:color w:val="000000"/>
                <w:sz w:val="21"/>
                <w:szCs w:val="21"/>
              </w:rPr>
              <w:t xml:space="preserve">Implemented</w:t>
            </w:r>
          </w:p>
        </w:tc>
      </w:tr>
      <w:tr>
        <w:trPr>
          <w:cantSplit/>
        </w:trPr>
        <w:tc>
          <w:tcPr>
            <w:tcW w:type="pct" w:w="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FR-04</w:t>
            </w:r>
          </w:p>
        </w:tc>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Significance grading</w:t>
            </w:r>
          </w:p>
        </w:tc>
        <w:tc>
          <w:tcPr>
            <w:tcW w:type="pct" w:w="5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Each transcript chunk graded none/low/medium/high and displayed as a live badge</w:t>
            </w:r>
          </w:p>
        </w:tc>
        <w:tc>
          <w:tcPr>
            <w:tcW w:type="pct" w:w="1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Implemented</w:t>
            </w:r>
          </w:p>
        </w:tc>
      </w:tr>
      <w:tr>
        <w:trPr>
          <w:cantSplit/>
        </w:trPr>
        <w:tc>
          <w:tcPr>
            <w:tcW w:type="pct" w:w="8%"/>
            <w:tcMar>
              <w:top w:type="dxa" w:w="60"/>
              <w:left w:type="dxa" w:w="120"/>
              <w:bottom w:type="dxa" w:w="60"/>
              <w:right w:type="dxa" w:w="120"/>
            </w:tcMar>
          </w:tcPr>
          <w:p>
            <w:pPr>
              <w:spacing w:after="0" w:line="312"/>
            </w:pPr>
            <w:r>
              <w:rPr>
                <w:rFonts w:ascii="Times New Roman" w:eastAsia="Times New Roman"/>
                <w:color w:val="000000"/>
                <w:sz w:val="21"/>
                <w:szCs w:val="21"/>
              </w:rPr>
              <w:t xml:space="preserve">FR-05</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Decision extraction</w:t>
            </w:r>
          </w:p>
        </w:tc>
        <w:tc>
          <w:tcPr>
            <w:tcW w:type="pct" w:w="55%"/>
            <w:tcMar>
              <w:top w:type="dxa" w:w="60"/>
              <w:left w:type="dxa" w:w="120"/>
              <w:bottom w:type="dxa" w:w="60"/>
              <w:right w:type="dxa" w:w="120"/>
            </w:tcMar>
          </w:tcPr>
          <w:p>
            <w:pPr>
              <w:spacing w:after="0" w:line="312"/>
            </w:pPr>
            <w:r>
              <w:rPr>
                <w:rFonts w:ascii="Times New Roman" w:eastAsia="Times New Roman"/>
                <w:color w:val="000000"/>
                <w:sz w:val="21"/>
                <w:szCs w:val="21"/>
              </w:rPr>
              <w:t xml:space="preserve">Explicit decisions identified in high-significance chunks and displayed as cards</w:t>
            </w:r>
          </w:p>
        </w:tc>
        <w:tc>
          <w:tcPr>
            <w:tcW w:type="pct" w:w="15%"/>
            <w:tcMar>
              <w:top w:type="dxa" w:w="60"/>
              <w:left w:type="dxa" w:w="120"/>
              <w:bottom w:type="dxa" w:w="60"/>
              <w:right w:type="dxa" w:w="120"/>
            </w:tcMar>
          </w:tcPr>
          <w:p>
            <w:pPr>
              <w:spacing w:after="0" w:line="312"/>
            </w:pPr>
            <w:r>
              <w:rPr>
                <w:rFonts w:ascii="Times New Roman" w:eastAsia="Times New Roman"/>
                <w:color w:val="000000"/>
                <w:sz w:val="21"/>
                <w:szCs w:val="21"/>
              </w:rPr>
              <w:t xml:space="preserve">Implemented</w:t>
            </w:r>
          </w:p>
        </w:tc>
      </w:tr>
      <w:tr>
        <w:trPr>
          <w:cantSplit/>
        </w:trPr>
        <w:tc>
          <w:tcPr>
            <w:tcW w:type="pct" w:w="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FR-06</w:t>
            </w:r>
          </w:p>
        </w:tc>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Action item extraction</w:t>
            </w:r>
          </w:p>
        </w:tc>
        <w:tc>
          <w:tcPr>
            <w:tcW w:type="pct" w:w="5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Action items extracted with assignee and optional deadline</w:t>
            </w:r>
          </w:p>
        </w:tc>
        <w:tc>
          <w:tcPr>
            <w:tcW w:type="pct" w:w="1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Implemented</w:t>
            </w:r>
          </w:p>
        </w:tc>
      </w:tr>
      <w:tr>
        <w:trPr>
          <w:cantSplit/>
        </w:trPr>
        <w:tc>
          <w:tcPr>
            <w:tcW w:type="pct" w:w="8%"/>
            <w:tcMar>
              <w:top w:type="dxa" w:w="60"/>
              <w:left w:type="dxa" w:w="120"/>
              <w:bottom w:type="dxa" w:w="60"/>
              <w:right w:type="dxa" w:w="120"/>
            </w:tcMar>
          </w:tcPr>
          <w:p>
            <w:pPr>
              <w:spacing w:after="0" w:line="312"/>
            </w:pPr>
            <w:r>
              <w:rPr>
                <w:rFonts w:ascii="Times New Roman" w:eastAsia="Times New Roman"/>
                <w:color w:val="000000"/>
                <w:sz w:val="21"/>
                <w:szCs w:val="21"/>
              </w:rPr>
              <w:t xml:space="preserve">FR-07</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Suggested replies</w:t>
            </w:r>
          </w:p>
        </w:tc>
        <w:tc>
          <w:tcPr>
            <w:tcW w:type="pct" w:w="55%"/>
            <w:tcMar>
              <w:top w:type="dxa" w:w="60"/>
              <w:left w:type="dxa" w:w="120"/>
              <w:bottom w:type="dxa" w:w="60"/>
              <w:right w:type="dxa" w:w="120"/>
            </w:tcMar>
          </w:tcPr>
          <w:p>
            <w:pPr>
              <w:spacing w:after="0" w:line="312"/>
            </w:pPr>
            <w:r>
              <w:rPr>
                <w:rFonts w:ascii="Times New Roman" w:eastAsia="Times New Roman"/>
                <w:color w:val="000000"/>
                <w:sz w:val="21"/>
                <w:szCs w:val="21"/>
              </w:rPr>
              <w:t xml:space="preserve">One-to-two-sentence contextual replies the user could speak in the meeting</w:t>
            </w:r>
          </w:p>
        </w:tc>
        <w:tc>
          <w:tcPr>
            <w:tcW w:type="pct" w:w="15%"/>
            <w:tcMar>
              <w:top w:type="dxa" w:w="60"/>
              <w:left w:type="dxa" w:w="120"/>
              <w:bottom w:type="dxa" w:w="60"/>
              <w:right w:type="dxa" w:w="120"/>
            </w:tcMar>
          </w:tcPr>
          <w:p>
            <w:pPr>
              <w:spacing w:after="0" w:line="312"/>
            </w:pPr>
            <w:r>
              <w:rPr>
                <w:rFonts w:ascii="Times New Roman" w:eastAsia="Times New Roman"/>
                <w:color w:val="000000"/>
                <w:sz w:val="21"/>
                <w:szCs w:val="21"/>
              </w:rPr>
              <w:t xml:space="preserve">Implemented</w:t>
            </w:r>
          </w:p>
        </w:tc>
      </w:tr>
      <w:tr>
        <w:trPr>
          <w:cantSplit/>
        </w:trPr>
        <w:tc>
          <w:tcPr>
            <w:tcW w:type="pct" w:w="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FR-08</w:t>
            </w:r>
          </w:p>
        </w:tc>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Meeting persistence</w:t>
            </w:r>
          </w:p>
        </w:tc>
        <w:tc>
          <w:tcPr>
            <w:tcW w:type="pct" w:w="5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Optional storage of transcripts, decisions and action items to PostgreSQL; automatic schema creation</w:t>
            </w:r>
          </w:p>
        </w:tc>
        <w:tc>
          <w:tcPr>
            <w:tcW w:type="pct" w:w="1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Implemented</w:t>
            </w:r>
          </w:p>
        </w:tc>
      </w:tr>
      <w:tr>
        <w:trPr>
          <w:cantSplit/>
        </w:trPr>
        <w:tc>
          <w:tcPr>
            <w:tcW w:type="pct" w:w="8%"/>
            <w:tcMar>
              <w:top w:type="dxa" w:w="60"/>
              <w:left w:type="dxa" w:w="120"/>
              <w:bottom w:type="dxa" w:w="60"/>
              <w:right w:type="dxa" w:w="120"/>
            </w:tcMar>
          </w:tcPr>
          <w:p>
            <w:pPr>
              <w:spacing w:after="0" w:line="312"/>
            </w:pPr>
            <w:r>
              <w:rPr>
                <w:rFonts w:ascii="Times New Roman" w:eastAsia="Times New Roman"/>
                <w:color w:val="000000"/>
                <w:sz w:val="21"/>
                <w:szCs w:val="21"/>
              </w:rPr>
              <w:t xml:space="preserve">FR-09</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Cost circuit breaker</w:t>
            </w:r>
          </w:p>
        </w:tc>
        <w:tc>
          <w:tcPr>
            <w:tcW w:type="pct" w:w="55%"/>
            <w:tcMar>
              <w:top w:type="dxa" w:w="60"/>
              <w:left w:type="dxa" w:w="120"/>
              <w:bottom w:type="dxa" w:w="60"/>
              <w:right w:type="dxa" w:w="120"/>
            </w:tcMar>
          </w:tcPr>
          <w:p>
            <w:pPr>
              <w:spacing w:after="0" w:line="312"/>
            </w:pPr>
            <w:r>
              <w:rPr>
                <w:rFonts w:ascii="Times New Roman" w:eastAsia="Times New Roman"/>
                <w:color w:val="000000"/>
                <w:sz w:val="21"/>
                <w:szCs w:val="21"/>
              </w:rPr>
              <w:t xml:space="preserve">Automatic pause of AI processing after 200 API calls with user notification</w:t>
            </w:r>
          </w:p>
        </w:tc>
        <w:tc>
          <w:tcPr>
            <w:tcW w:type="pct" w:w="15%"/>
            <w:tcMar>
              <w:top w:type="dxa" w:w="60"/>
              <w:left w:type="dxa" w:w="120"/>
              <w:bottom w:type="dxa" w:w="60"/>
              <w:right w:type="dxa" w:w="120"/>
            </w:tcMar>
          </w:tcPr>
          <w:p>
            <w:pPr>
              <w:spacing w:after="0" w:line="312"/>
            </w:pPr>
            <w:r>
              <w:rPr>
                <w:rFonts w:ascii="Times New Roman" w:eastAsia="Times New Roman"/>
                <w:color w:val="000000"/>
                <w:sz w:val="21"/>
                <w:szCs w:val="21"/>
              </w:rPr>
              <w:t xml:space="preserve">Implemented</w:t>
            </w:r>
          </w:p>
        </w:tc>
      </w:tr>
      <w:tr>
        <w:trPr>
          <w:cantSplit/>
        </w:trPr>
        <w:tc>
          <w:tcPr>
            <w:tcW w:type="pct" w:w="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FR-10</w:t>
            </w:r>
          </w:p>
        </w:tc>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Session control</w:t>
            </w:r>
          </w:p>
        </w:tc>
        <w:tc>
          <w:tcPr>
            <w:tcW w:type="pct" w:w="5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Start and stop of capture from the UI with status feedback</w:t>
            </w:r>
          </w:p>
        </w:tc>
        <w:tc>
          <w:tcPr>
            <w:tcW w:type="pct" w:w="1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Implemented</w:t>
            </w:r>
          </w:p>
        </w:tc>
      </w:tr>
    </w:tbl>
    <w:p>
      <w:pPr>
        <w:pStyle w:val="Heading1"/>
      </w:pPr>
      <w:bookmarkStart w:id="100003" w:name="_Toc100003"/>
      <w:r>
        <w:t xml:space="preserve">4. User Interface Specification</w:t>
      </w:r>
      <w:bookmarkEnd w:id="100003"/>
    </w:p>
    <w:p>
      <w:pPr>
        <w:pStyle w:val="Heading2"/>
      </w:pPr>
      <w:bookmarkStart w:id="100004" w:name="_Toc100004"/>
      <w:r>
        <w:t xml:space="preserve">4.1 Window and Layout</w:t>
      </w:r>
      <w:bookmarkEnd w:id="100004"/>
    </w:p>
    <w:p>
      <w:pPr>
        <w:spacing w:after="120" w:line="312"/>
        <w:jc w:val="both"/>
      </w:pPr>
      <w:r>
        <w:rPr>
          <w:rFonts w:ascii="Times New Roman" w:eastAsia="Times New Roman"/>
          <w:color w:val="000000"/>
          <w:sz w:val="24"/>
          <w:szCs w:val="24"/>
        </w:rPr>
        <w:t xml:space="preserve">The application opens as an 800×600 window titled “tauri-app” (product identity is pending — see finding F-06). The layout is a top bar over a three-pane grid. The visual language is a dark glassmorphism theme with translucent panels, CSS-variable-driven colour, and a pulsing microphone animation while capture is live.</w:t>
      </w:r>
    </w:p>
    <w:p>
      <w:pPr>
        <w:pStyle w:val="Heading2"/>
      </w:pPr>
      <w:bookmarkStart w:id="100005" w:name="_Toc100005"/>
      <w:r>
        <w:t xml:space="preserve">4.2 Top Bar</w:t>
      </w:r>
      <w:bookmarkEnd w:id="100005"/>
    </w:p>
    <w:p>
      <w:pPr>
        <w:spacing w:after="120" w:line="312"/>
        <w:jc w:val="both"/>
      </w:pPr>
      <w:r>
        <w:rPr>
          <w:rFonts w:ascii="Times New Roman" w:eastAsia="Times New Roman"/>
          <w:color w:val="000000"/>
          <w:sz w:val="24"/>
          <w:szCs w:val="24"/>
        </w:rPr>
        <w:t xml:space="preserve">The top bar contains the product title with a microphone glyph, a status indicator, and two mutually exclusive buttons: Start Capture and Stop. The status indicator renders a coloured dot plus label reflecting the session state.</w:t>
      </w:r>
    </w:p>
    <w:p>
      <w:pPr>
        <w:keepNext/>
        <w:spacing w:after="80" w:before="200" w:line="312"/>
      </w:pPr>
      <w:r>
        <w:rPr>
          <w:rFonts w:ascii="Times New Roman" w:eastAsia="Times New Roman"/>
          <w:b/>
          <w:bCs/>
          <w:color w:val="404040"/>
          <w:sz w:val="21"/>
          <w:szCs w:val="21"/>
        </w:rPr>
        <w:t xml:space="preserve">Table 8 — Status Indicator States</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15%"/>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State</w:t>
            </w:r>
          </w:p>
        </w:tc>
        <w:tc>
          <w:tcPr>
            <w:tcW w:type="pct" w:w="15%"/>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Dot colour</w:t>
            </w:r>
          </w:p>
        </w:tc>
        <w:tc>
          <w:tcPr>
            <w:tcW w:type="pct" w:w="25%"/>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Label</w:t>
            </w:r>
          </w:p>
        </w:tc>
        <w:tc>
          <w:tcPr>
            <w:tcW w:type="pct" w:w="45%"/>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Meaning</w:t>
            </w:r>
          </w:p>
        </w:tc>
      </w:tr>
      <w:tr>
        <w:trPr>
          <w:cantSplit/>
        </w:trPr>
        <w:tc>
          <w:tcPr>
            <w:tcW w:type="pct" w:w="15%"/>
            <w:tcMar>
              <w:top w:type="dxa" w:w="60"/>
              <w:left w:type="dxa" w:w="120"/>
              <w:bottom w:type="dxa" w:w="60"/>
              <w:right w:type="dxa" w:w="120"/>
            </w:tcMar>
          </w:tcPr>
          <w:p>
            <w:pPr>
              <w:spacing w:after="0" w:line="312"/>
            </w:pPr>
            <w:r>
              <w:rPr>
                <w:rFonts w:ascii="Times New Roman" w:eastAsia="Times New Roman"/>
                <w:color w:val="000000"/>
                <w:sz w:val="21"/>
                <w:szCs w:val="21"/>
              </w:rPr>
              <w:t xml:space="preserve">Idle</w:t>
            </w:r>
          </w:p>
        </w:tc>
        <w:tc>
          <w:tcPr>
            <w:tcW w:type="pct" w:w="15%"/>
            <w:tcMar>
              <w:top w:type="dxa" w:w="60"/>
              <w:left w:type="dxa" w:w="120"/>
              <w:bottom w:type="dxa" w:w="60"/>
              <w:right w:type="dxa" w:w="120"/>
            </w:tcMar>
          </w:tcPr>
          <w:p>
            <w:pPr>
              <w:spacing w:after="0" w:line="312"/>
            </w:pPr>
            <w:r>
              <w:rPr>
                <w:rFonts w:ascii="Times New Roman" w:eastAsia="Times New Roman"/>
                <w:color w:val="000000"/>
                <w:sz w:val="21"/>
                <w:szCs w:val="21"/>
              </w:rPr>
              <w:t xml:space="preserve">Grey</w:t>
            </w:r>
          </w:p>
        </w:tc>
        <w:tc>
          <w:tcPr>
            <w:tcW w:type="pct" w:w="25%"/>
            <w:tcMar>
              <w:top w:type="dxa" w:w="60"/>
              <w:left w:type="dxa" w:w="120"/>
              <w:bottom w:type="dxa" w:w="60"/>
              <w:right w:type="dxa" w:w="120"/>
            </w:tcMar>
          </w:tcPr>
          <w:p>
            <w:pPr>
              <w:spacing w:after="0" w:line="312"/>
            </w:pPr>
            <w:r>
              <w:rPr>
                <w:rFonts w:ascii="Times New Roman" w:eastAsia="Times New Roman"/>
                <w:color w:val="000000"/>
                <w:sz w:val="21"/>
                <w:szCs w:val="21"/>
              </w:rPr>
              <w:t xml:space="preserve">Ready</w:t>
            </w:r>
          </w:p>
        </w:tc>
        <w:tc>
          <w:tcPr>
            <w:tcW w:type="pct" w:w="45%"/>
            <w:tcMar>
              <w:top w:type="dxa" w:w="60"/>
              <w:left w:type="dxa" w:w="120"/>
              <w:bottom w:type="dxa" w:w="60"/>
              <w:right w:type="dxa" w:w="120"/>
            </w:tcMar>
          </w:tcPr>
          <w:p>
            <w:pPr>
              <w:spacing w:after="0" w:line="312"/>
            </w:pPr>
            <w:r>
              <w:rPr>
                <w:rFonts w:ascii="Times New Roman" w:eastAsia="Times New Roman"/>
                <w:color w:val="000000"/>
                <w:sz w:val="21"/>
                <w:szCs w:val="21"/>
              </w:rPr>
              <w:t xml:space="preserve">No capture running; Start enabled, Stop disabled</w:t>
            </w:r>
          </w:p>
        </w:tc>
      </w:tr>
      <w:tr>
        <w:trPr>
          <w:cantSplit/>
        </w:trPr>
        <w:tc>
          <w:tcPr>
            <w:tcW w:type="pct" w:w="1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Live</w:t>
            </w:r>
          </w:p>
        </w:tc>
        <w:tc>
          <w:tcPr>
            <w:tcW w:type="pct" w:w="1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Green</w:t>
            </w:r>
          </w:p>
        </w:tc>
        <w:tc>
          <w:tcPr>
            <w:tcW w:type="pct" w:w="2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Live</w:t>
            </w:r>
          </w:p>
        </w:tc>
        <w:tc>
          <w:tcPr>
            <w:tcW w:type="pct" w:w="4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Capture and streaming active; microphone pulse visible</w:t>
            </w:r>
          </w:p>
        </w:tc>
      </w:tr>
      <w:tr>
        <w:trPr>
          <w:cantSplit/>
        </w:trPr>
        <w:tc>
          <w:tcPr>
            <w:tcW w:type="pct" w:w="15%"/>
            <w:tcMar>
              <w:top w:type="dxa" w:w="60"/>
              <w:left w:type="dxa" w:w="120"/>
              <w:bottom w:type="dxa" w:w="60"/>
              <w:right w:type="dxa" w:w="120"/>
            </w:tcMar>
          </w:tcPr>
          <w:p>
            <w:pPr>
              <w:spacing w:after="0" w:line="312"/>
            </w:pPr>
            <w:r>
              <w:rPr>
                <w:rFonts w:ascii="Times New Roman" w:eastAsia="Times New Roman"/>
                <w:color w:val="000000"/>
                <w:sz w:val="21"/>
                <w:szCs w:val="21"/>
              </w:rPr>
              <w:t xml:space="preserve">Error</w:t>
            </w:r>
          </w:p>
        </w:tc>
        <w:tc>
          <w:tcPr>
            <w:tcW w:type="pct" w:w="15%"/>
            <w:tcMar>
              <w:top w:type="dxa" w:w="60"/>
              <w:left w:type="dxa" w:w="120"/>
              <w:bottom w:type="dxa" w:w="60"/>
              <w:right w:type="dxa" w:w="120"/>
            </w:tcMar>
          </w:tcPr>
          <w:p>
            <w:pPr>
              <w:spacing w:after="0" w:line="312"/>
            </w:pPr>
            <w:r>
              <w:rPr>
                <w:rFonts w:ascii="Times New Roman" w:eastAsia="Times New Roman"/>
                <w:color w:val="000000"/>
                <w:sz w:val="21"/>
                <w:szCs w:val="21"/>
              </w:rPr>
              <w:t xml:space="preserve">Grey</w:t>
            </w:r>
          </w:p>
        </w:tc>
        <w:tc>
          <w:tcPr>
            <w:tcW w:type="pct" w:w="25%"/>
            <w:tcMar>
              <w:top w:type="dxa" w:w="60"/>
              <w:left w:type="dxa" w:w="120"/>
              <w:bottom w:type="dxa" w:w="60"/>
              <w:right w:type="dxa" w:w="120"/>
            </w:tcMar>
          </w:tcPr>
          <w:p>
            <w:pPr>
              <w:spacing w:after="0" w:line="312"/>
            </w:pPr>
            <w:r>
              <w:rPr>
                <w:rFonts w:ascii="Times New Roman" w:eastAsia="Times New Roman"/>
                <w:color w:val="000000"/>
                <w:sz w:val="21"/>
                <w:szCs w:val="21"/>
              </w:rPr>
              <w:t xml:space="preserve">Error</w:t>
            </w:r>
          </w:p>
        </w:tc>
        <w:tc>
          <w:tcPr>
            <w:tcW w:type="pct" w:w="45%"/>
            <w:tcMar>
              <w:top w:type="dxa" w:w="60"/>
              <w:left w:type="dxa" w:w="120"/>
              <w:bottom w:type="dxa" w:w="60"/>
              <w:right w:type="dxa" w:w="120"/>
            </w:tcMar>
          </w:tcPr>
          <w:p>
            <w:pPr>
              <w:spacing w:after="0" w:line="312"/>
            </w:pPr>
            <w:r>
              <w:rPr>
                <w:rFonts w:ascii="Times New Roman" w:eastAsia="Times New Roman"/>
                <w:color w:val="000000"/>
                <w:sz w:val="21"/>
                <w:szCs w:val="21"/>
              </w:rPr>
              <w:t xml:space="preserve">A backend error occurred; controls reset to idle</w:t>
            </w:r>
          </w:p>
        </w:tc>
      </w:tr>
      <w:tr>
        <w:trPr>
          <w:cantSplit/>
        </w:trPr>
        <w:tc>
          <w:tcPr>
            <w:tcW w:type="pct" w:w="1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Cost limit</w:t>
            </w:r>
          </w:p>
        </w:tc>
        <w:tc>
          <w:tcPr>
            <w:tcW w:type="pct" w:w="1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Red</w:t>
            </w:r>
          </w:p>
        </w:tc>
        <w:tc>
          <w:tcPr>
            <w:tcW w:type="pct" w:w="2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Cost Limit Reached</w:t>
            </w:r>
          </w:p>
        </w:tc>
        <w:tc>
          <w:tcPr>
            <w:tcW w:type="pct" w:w="4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Circuit breaker tripped; AI processing paused</w:t>
            </w:r>
          </w:p>
        </w:tc>
      </w:tr>
    </w:tbl>
    <w:p>
      <w:pPr>
        <w:pStyle w:val="Heading2"/>
      </w:pPr>
      <w:bookmarkStart w:id="100006" w:name="_Toc100006"/>
      <w:r>
        <w:t xml:space="preserve">4.3 Pane 1 — Live Transcript</w:t>
      </w:r>
      <w:bookmarkEnd w:id="100006"/>
    </w:p>
    <w:p>
      <w:pPr>
        <w:spacing w:after="120" w:line="312"/>
        <w:jc w:val="both"/>
      </w:pPr>
      <w:r>
        <w:rPr>
          <w:rFonts w:ascii="Times New Roman" w:eastAsia="Times New Roman"/>
          <w:color w:val="000000"/>
          <w:sz w:val="24"/>
          <w:szCs w:val="24"/>
        </w:rPr>
        <w:t xml:space="preserve">Displays the real-time transcript. While capture is live, a pulsing microphone ring is shown. A placeholder (“Waiting for speech...”) is displayed until the first transcript event. Partial results render as a single in-place line that updates as words arrive; final utterances are appended to history with a speaker label. The default speaker is styled distinctly from other labels, giving lightweight visual diarisation even though no true speaker separation is performed. The pane auto-scrolls.</w:t>
      </w:r>
    </w:p>
    <w:p>
      <w:pPr>
        <w:pStyle w:val="Heading2"/>
      </w:pPr>
      <w:bookmarkStart w:id="100007" w:name="_Toc100007"/>
      <w:r>
        <w:t xml:space="preserve">4.4 Pane 2 — Plain-Language Context</w:t>
      </w:r>
      <w:bookmarkEnd w:id="100007"/>
    </w:p>
    <w:p>
      <w:pPr>
        <w:spacing w:after="120" w:line="312"/>
        <w:jc w:val="both"/>
      </w:pPr>
      <w:r>
        <w:rPr>
          <w:rFonts w:ascii="Times New Roman" w:eastAsia="Times New Roman"/>
          <w:color w:val="000000"/>
          <w:sz w:val="24"/>
          <w:szCs w:val="24"/>
        </w:rPr>
        <w:t xml:space="preserve">Displays explanation cards produced by the Explanation Agent, separated by dividers, plus a significance badge. The badge maps the four grades to coloured indicators: none (white circle), low (green circle), medium (yellow circle), high (red circle), and briefly scales up on each update for visibility. The pane auto-scrolls.</w:t>
      </w:r>
    </w:p>
    <w:p>
      <w:pPr>
        <w:pStyle w:val="Heading2"/>
      </w:pPr>
      <w:bookmarkStart w:id="100008" w:name="_Toc100008"/>
      <w:r>
        <w:t xml:space="preserve">4.5 Pane 3 — Suggested Response &amp; Insights</w:t>
      </w:r>
      <w:bookmarkEnd w:id="100008"/>
    </w:p>
    <w:p>
      <w:pPr>
        <w:spacing w:after="120" w:line="312"/>
        <w:jc w:val="both"/>
      </w:pPr>
      <w:r>
        <w:rPr>
          <w:rFonts w:ascii="Times New Roman" w:eastAsia="Times New Roman"/>
          <w:color w:val="000000"/>
          <w:sz w:val="24"/>
          <w:szCs w:val="24"/>
        </w:rPr>
        <w:t xml:space="preserve">Displays decisions (prefixed “Decision:”), action items (prefixed “Action Item:” with assignee line), and suggested replies rendered as chat-bubble cards labelled “Suggested Reply”. The pane auto-scrolls.</w:t>
      </w:r>
    </w:p>
    <w:p>
      <w:pPr>
        <w:pStyle w:val="Heading1"/>
      </w:pPr>
      <w:bookmarkStart w:id="100009" w:name="_Toc100009"/>
      <w:r>
        <w:t xml:space="preserve">5. End-to-End User Flow</w:t>
      </w:r>
      <w:bookmarkEnd w:id="100009"/>
    </w:p>
    <w:p>
      <w:pPr>
        <w:spacing w:after="120" w:line="312"/>
        <w:jc w:val="both"/>
      </w:pPr>
      <w:r>
        <w:rPr>
          <w:rFonts w:ascii="Times New Roman" w:eastAsia="Times New Roman"/>
          <w:color w:val="000000"/>
          <w:sz w:val="24"/>
          <w:szCs w:val="24"/>
        </w:rPr>
        <w:t xml:space="preserve">The following sequence describes the primary scenario from launch to shutdown.</w:t>
      </w:r>
    </w:p>
    <w:p>
      <w:pPr>
        <w:keepNext/>
        <w:spacing w:after="80" w:before="200" w:line="312"/>
      </w:pPr>
      <w:r>
        <w:rPr>
          <w:rFonts w:ascii="Times New Roman" w:eastAsia="Times New Roman"/>
          <w:b/>
          <w:bCs/>
          <w:color w:val="404040"/>
          <w:sz w:val="21"/>
          <w:szCs w:val="21"/>
        </w:rPr>
        <w:t xml:space="preserve">Table 9 — Primary Scenario</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Step</w:t>
            </w:r>
          </w:p>
        </w:tc>
        <w:tc>
          <w:tcPr>
            <w:tcW w:type="pct" w:w="1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Actor</w:t>
            </w:r>
          </w:p>
        </w:tc>
        <w:tc>
          <w:tcPr>
            <w:tcW w:type="pct" w:w="30%"/>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Action</w:t>
            </w:r>
          </w:p>
        </w:tc>
        <w:tc>
          <w:tcPr>
            <w:tcW w:type="pct" w:w="4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System Response</w:t>
            </w:r>
          </w:p>
        </w:tc>
      </w:tr>
      <w:tr>
        <w:trPr>
          <w:cantSplit/>
        </w:trPr>
        <w:tc>
          <w:tcPr>
            <w:tcW w:type="pct" w:w="8%"/>
            <w:tcMar>
              <w:top w:type="dxa" w:w="60"/>
              <w:left w:type="dxa" w:w="120"/>
              <w:bottom w:type="dxa" w:w="60"/>
              <w:right w:type="dxa" w:w="120"/>
            </w:tcMar>
          </w:tcPr>
          <w:p>
            <w:pPr>
              <w:spacing w:after="0" w:line="312"/>
            </w:pPr>
            <w:r>
              <w:rPr>
                <w:rFonts w:ascii="Times New Roman" w:eastAsia="Times New Roman"/>
                <w:color w:val="000000"/>
                <w:sz w:val="21"/>
                <w:szCs w:val="21"/>
              </w:rPr>
              <w:t xml:space="preserve">1</w:t>
            </w:r>
          </w:p>
        </w:tc>
        <w:tc>
          <w:tcPr>
            <w:tcW w:type="pct" w:w="14%"/>
            <w:tcMar>
              <w:top w:type="dxa" w:w="60"/>
              <w:left w:type="dxa" w:w="120"/>
              <w:bottom w:type="dxa" w:w="60"/>
              <w:right w:type="dxa" w:w="120"/>
            </w:tcMar>
          </w:tcPr>
          <w:p>
            <w:pPr>
              <w:spacing w:after="0" w:line="312"/>
            </w:pPr>
            <w:r>
              <w:rPr>
                <w:rFonts w:ascii="Times New Roman" w:eastAsia="Times New Roman"/>
                <w:color w:val="000000"/>
                <w:sz w:val="21"/>
                <w:szCs w:val="21"/>
              </w:rPr>
              <w:t xml:space="preserve">User</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Launches the application</w:t>
            </w:r>
          </w:p>
        </w:tc>
        <w:tc>
          <w:tcPr>
            <w:tcW w:type="pct" w:w="48%"/>
            <w:tcMar>
              <w:top w:type="dxa" w:w="60"/>
              <w:left w:type="dxa" w:w="120"/>
              <w:bottom w:type="dxa" w:w="60"/>
              <w:right w:type="dxa" w:w="120"/>
            </w:tcMar>
          </w:tcPr>
          <w:p>
            <w:pPr>
              <w:spacing w:after="0" w:line="312"/>
            </w:pPr>
            <w:r>
              <w:rPr>
                <w:rFonts w:ascii="Times New Roman" w:eastAsia="Times New Roman"/>
                <w:color w:val="000000"/>
                <w:sz w:val="21"/>
                <w:szCs w:val="21"/>
              </w:rPr>
              <w:t xml:space="preserve">Window opens with three empty panes; status shows Ready</w:t>
            </w:r>
          </w:p>
        </w:tc>
      </w:tr>
      <w:tr>
        <w:trPr>
          <w:cantSplit/>
        </w:trPr>
        <w:tc>
          <w:tcPr>
            <w:tcW w:type="pct" w:w="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2</w:t>
            </w:r>
          </w:p>
        </w:tc>
        <w:tc>
          <w:tcPr>
            <w:tcW w:type="pct" w:w="1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User</w:t>
            </w:r>
          </w:p>
        </w:tc>
        <w:tc>
          <w:tcPr>
            <w:tcW w:type="pct" w:w="3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Clicks Start Capture</w:t>
            </w:r>
          </w:p>
        </w:tc>
        <w:tc>
          <w:tcPr>
            <w:tcW w:type="pct" w:w="4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Sidecar and audio pipeline start; status switches to Live; mic pulse animates</w:t>
            </w:r>
          </w:p>
        </w:tc>
      </w:tr>
      <w:tr>
        <w:trPr>
          <w:cantSplit/>
        </w:trPr>
        <w:tc>
          <w:tcPr>
            <w:tcW w:type="pct" w:w="8%"/>
            <w:tcMar>
              <w:top w:type="dxa" w:w="60"/>
              <w:left w:type="dxa" w:w="120"/>
              <w:bottom w:type="dxa" w:w="60"/>
              <w:right w:type="dxa" w:w="120"/>
            </w:tcMar>
          </w:tcPr>
          <w:p>
            <w:pPr>
              <w:spacing w:after="0" w:line="312"/>
            </w:pPr>
            <w:r>
              <w:rPr>
                <w:rFonts w:ascii="Times New Roman" w:eastAsia="Times New Roman"/>
                <w:color w:val="000000"/>
                <w:sz w:val="21"/>
                <w:szCs w:val="21"/>
              </w:rPr>
              <w:t xml:space="preserve">3</w:t>
            </w:r>
          </w:p>
        </w:tc>
        <w:tc>
          <w:tcPr>
            <w:tcW w:type="pct" w:w="14%"/>
            <w:tcMar>
              <w:top w:type="dxa" w:w="60"/>
              <w:left w:type="dxa" w:w="120"/>
              <w:bottom w:type="dxa" w:w="60"/>
              <w:right w:type="dxa" w:w="120"/>
            </w:tcMar>
          </w:tcPr>
          <w:p>
            <w:pPr>
              <w:spacing w:after="0" w:line="312"/>
            </w:pPr>
            <w:r>
              <w:rPr>
                <w:rFonts w:ascii="Times New Roman" w:eastAsia="Times New Roman"/>
                <w:color w:val="000000"/>
                <w:sz w:val="21"/>
                <w:szCs w:val="21"/>
              </w:rPr>
              <w:t xml:space="preserve">Participants</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Speak in the meeting</w:t>
            </w:r>
          </w:p>
        </w:tc>
        <w:tc>
          <w:tcPr>
            <w:tcW w:type="pct" w:w="48%"/>
            <w:tcMar>
              <w:top w:type="dxa" w:w="60"/>
              <w:left w:type="dxa" w:w="120"/>
              <w:bottom w:type="dxa" w:w="60"/>
              <w:right w:type="dxa" w:w="120"/>
            </w:tcMar>
          </w:tcPr>
          <w:p>
            <w:pPr>
              <w:spacing w:after="0" w:line="312"/>
            </w:pPr>
            <w:r>
              <w:rPr>
                <w:rFonts w:ascii="Times New Roman" w:eastAsia="Times New Roman"/>
                <w:color w:val="000000"/>
                <w:sz w:val="21"/>
                <w:szCs w:val="21"/>
              </w:rPr>
              <w:t xml:space="preserve">Partial transcripts stream into Pane 1 in near real time</w:t>
            </w:r>
          </w:p>
        </w:tc>
      </w:tr>
      <w:tr>
        <w:trPr>
          <w:cantSplit/>
        </w:trPr>
        <w:tc>
          <w:tcPr>
            <w:tcW w:type="pct" w:w="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4</w:t>
            </w:r>
          </w:p>
        </w:tc>
        <w:tc>
          <w:tcPr>
            <w:tcW w:type="pct" w:w="1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System</w:t>
            </w:r>
          </w:p>
        </w:tc>
        <w:tc>
          <w:tcPr>
            <w:tcW w:type="pct" w:w="3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Finalises an utterance</w:t>
            </w:r>
          </w:p>
        </w:tc>
        <w:tc>
          <w:tcPr>
            <w:tcW w:type="pct" w:w="4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Utterance appended to transcript history with speaker label; utterance buffered for analysis</w:t>
            </w:r>
          </w:p>
        </w:tc>
      </w:tr>
      <w:tr>
        <w:trPr>
          <w:cantSplit/>
        </w:trPr>
        <w:tc>
          <w:tcPr>
            <w:tcW w:type="pct" w:w="8%"/>
            <w:tcMar>
              <w:top w:type="dxa" w:w="60"/>
              <w:left w:type="dxa" w:w="120"/>
              <w:bottom w:type="dxa" w:w="60"/>
              <w:right w:type="dxa" w:w="120"/>
            </w:tcMar>
          </w:tcPr>
          <w:p>
            <w:pPr>
              <w:spacing w:after="0" w:line="312"/>
            </w:pPr>
            <w:r>
              <w:rPr>
                <w:rFonts w:ascii="Times New Roman" w:eastAsia="Times New Roman"/>
                <w:color w:val="000000"/>
                <w:sz w:val="21"/>
                <w:szCs w:val="21"/>
              </w:rPr>
              <w:t xml:space="preserve">5</w:t>
            </w:r>
          </w:p>
        </w:tc>
        <w:tc>
          <w:tcPr>
            <w:tcW w:type="pct" w:w="14%"/>
            <w:tcMar>
              <w:top w:type="dxa" w:w="60"/>
              <w:left w:type="dxa" w:w="120"/>
              <w:bottom w:type="dxa" w:w="60"/>
              <w:right w:type="dxa" w:w="120"/>
            </w:tcMar>
          </w:tcPr>
          <w:p>
            <w:pPr>
              <w:spacing w:after="0" w:line="312"/>
            </w:pPr>
            <w:r>
              <w:rPr>
                <w:rFonts w:ascii="Times New Roman" w:eastAsia="Times New Roman"/>
                <w:color w:val="000000"/>
                <w:sz w:val="21"/>
                <w:szCs w:val="21"/>
              </w:rPr>
              <w:t xml:space="preserve">System</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Flushes the semantic buffer</w:t>
            </w:r>
          </w:p>
        </w:tc>
        <w:tc>
          <w:tcPr>
            <w:tcW w:type="pct" w:w="48%"/>
            <w:tcMar>
              <w:top w:type="dxa" w:w="60"/>
              <w:left w:type="dxa" w:w="120"/>
              <w:bottom w:type="dxa" w:w="60"/>
              <w:right w:type="dxa" w:w="120"/>
            </w:tcMar>
          </w:tcPr>
          <w:p>
            <w:pPr>
              <w:spacing w:after="0" w:line="312"/>
            </w:pPr>
            <w:r>
              <w:rPr>
                <w:rFonts w:ascii="Times New Roman" w:eastAsia="Times New Roman"/>
                <w:color w:val="000000"/>
                <w:sz w:val="21"/>
                <w:szCs w:val="21"/>
              </w:rPr>
              <w:t xml:space="preserve">Chunk graded; significance badge updates; explanation may appear in Pane 2</w:t>
            </w:r>
          </w:p>
        </w:tc>
      </w:tr>
      <w:tr>
        <w:trPr>
          <w:cantSplit/>
        </w:trPr>
        <w:tc>
          <w:tcPr>
            <w:tcW w:type="pct" w:w="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6</w:t>
            </w:r>
          </w:p>
        </w:tc>
        <w:tc>
          <w:tcPr>
            <w:tcW w:type="pct" w:w="1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System</w:t>
            </w:r>
          </w:p>
        </w:tc>
        <w:tc>
          <w:tcPr>
            <w:tcW w:type="pct" w:w="3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Grades a chunk as high</w:t>
            </w:r>
          </w:p>
        </w:tc>
        <w:tc>
          <w:tcPr>
            <w:tcW w:type="pct" w:w="4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Decisions, action items and a suggested reply may appear in Pane 3</w:t>
            </w:r>
          </w:p>
        </w:tc>
      </w:tr>
      <w:tr>
        <w:trPr>
          <w:cantSplit/>
        </w:trPr>
        <w:tc>
          <w:tcPr>
            <w:tcW w:type="pct" w:w="8%"/>
            <w:tcMar>
              <w:top w:type="dxa" w:w="60"/>
              <w:left w:type="dxa" w:w="120"/>
              <w:bottom w:type="dxa" w:w="60"/>
              <w:right w:type="dxa" w:w="120"/>
            </w:tcMar>
          </w:tcPr>
          <w:p>
            <w:pPr>
              <w:spacing w:after="0" w:line="312"/>
            </w:pPr>
            <w:r>
              <w:rPr>
                <w:rFonts w:ascii="Times New Roman" w:eastAsia="Times New Roman"/>
                <w:color w:val="000000"/>
                <w:sz w:val="21"/>
                <w:szCs w:val="21"/>
              </w:rPr>
              <w:t xml:space="preserve">7</w:t>
            </w:r>
          </w:p>
        </w:tc>
        <w:tc>
          <w:tcPr>
            <w:tcW w:type="pct" w:w="14%"/>
            <w:tcMar>
              <w:top w:type="dxa" w:w="60"/>
              <w:left w:type="dxa" w:w="120"/>
              <w:bottom w:type="dxa" w:w="60"/>
              <w:right w:type="dxa" w:w="120"/>
            </w:tcMar>
          </w:tcPr>
          <w:p>
            <w:pPr>
              <w:spacing w:after="0" w:line="312"/>
            </w:pPr>
            <w:r>
              <w:rPr>
                <w:rFonts w:ascii="Times New Roman" w:eastAsia="Times New Roman"/>
                <w:color w:val="000000"/>
                <w:sz w:val="21"/>
                <w:szCs w:val="21"/>
              </w:rPr>
              <w:t xml:space="preserve">System</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Reaches 200 API calls</w:t>
            </w:r>
          </w:p>
        </w:tc>
        <w:tc>
          <w:tcPr>
            <w:tcW w:type="pct" w:w="48%"/>
            <w:tcMar>
              <w:top w:type="dxa" w:w="60"/>
              <w:left w:type="dxa" w:w="120"/>
              <w:bottom w:type="dxa" w:w="60"/>
              <w:right w:type="dxa" w:w="120"/>
            </w:tcMar>
          </w:tcPr>
          <w:p>
            <w:pPr>
              <w:spacing w:after="0" w:line="312"/>
            </w:pPr>
            <w:r>
              <w:rPr>
                <w:rFonts w:ascii="Times New Roman" w:eastAsia="Times New Roman"/>
                <w:color w:val="000000"/>
                <w:sz w:val="21"/>
                <w:szCs w:val="21"/>
              </w:rPr>
              <w:t xml:space="preserve">Status turns red (“Cost Limit Reached”); a dialog informs the user; AI processing pauses</w:t>
            </w:r>
          </w:p>
        </w:tc>
      </w:tr>
      <w:tr>
        <w:trPr>
          <w:cantSplit/>
        </w:trPr>
        <w:tc>
          <w:tcPr>
            <w:tcW w:type="pct" w:w="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8</w:t>
            </w:r>
          </w:p>
        </w:tc>
        <w:tc>
          <w:tcPr>
            <w:tcW w:type="pct" w:w="1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User</w:t>
            </w:r>
          </w:p>
        </w:tc>
        <w:tc>
          <w:tcPr>
            <w:tcW w:type="pct" w:w="3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Clicks Stop</w:t>
            </w:r>
          </w:p>
        </w:tc>
        <w:tc>
          <w:tcPr>
            <w:tcW w:type="pct" w:w="4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Sidecar and audio stop; status returns to Ready; partial line clears</w:t>
            </w:r>
          </w:p>
        </w:tc>
      </w:tr>
    </w:tbl>
    <w:p>
      <w:pPr>
        <w:pStyle w:val="Heading1"/>
      </w:pPr>
      <w:bookmarkStart w:id="100010" w:name="_Toc100010"/>
      <w:r>
        <w:t xml:space="preserve">6. IPC Command Catalogue</w:t>
      </w:r>
      <w:bookmarkEnd w:id="100010"/>
    </w:p>
    <w:p>
      <w:pPr>
        <w:spacing w:after="120" w:line="312"/>
        <w:jc w:val="both"/>
      </w:pPr>
      <w:r>
        <w:rPr>
          <w:rFonts w:ascii="Times New Roman" w:eastAsia="Times New Roman"/>
          <w:color w:val="000000"/>
          <w:sz w:val="24"/>
          <w:szCs w:val="24"/>
        </w:rPr>
        <w:t xml:space="preserve">The frontend invokes exactly two Tauri commands. Both are idempotency-guarded.</w:t>
      </w:r>
    </w:p>
    <w:p>
      <w:pPr>
        <w:keepNext/>
        <w:spacing w:after="80" w:before="200" w:line="312"/>
      </w:pPr>
      <w:r>
        <w:rPr>
          <w:rFonts w:ascii="Times New Roman" w:eastAsia="Times New Roman"/>
          <w:b/>
          <w:bCs/>
          <w:color w:val="404040"/>
          <w:sz w:val="21"/>
          <w:szCs w:val="21"/>
        </w:rPr>
        <w:t xml:space="preserve">Table 10 — Tauri Commands</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gridCol w:w="100"/>
      </w:tblGrid>
      <w:tr>
        <w:trPr>
          <w:cantSplit/>
          <w:tblHeader/>
        </w:trPr>
        <w:tc>
          <w:tcPr>
            <w:tcW w:type="pct" w:w="1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Command</w:t>
            </w:r>
          </w:p>
        </w:tc>
        <w:tc>
          <w:tcPr>
            <w:tcW w:type="pct" w:w="1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Direction</w:t>
            </w:r>
          </w:p>
        </w:tc>
        <w:tc>
          <w:tcPr>
            <w:tcW w:type="pct" w:w="1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Parameters</w:t>
            </w:r>
          </w:p>
        </w:tc>
        <w:tc>
          <w:tcPr>
            <w:tcW w:type="pct" w:w="3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Effect</w:t>
            </w:r>
          </w:p>
        </w:tc>
        <w:tc>
          <w:tcPr>
            <w:tcW w:type="pct" w:w="2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Error Cases</w:t>
            </w:r>
          </w:p>
        </w:tc>
      </w:tr>
      <w:tr>
        <w:trPr>
          <w:cantSplit/>
        </w:trPr>
        <w:tc>
          <w:tcPr>
            <w:tcW w:type="pct" w:w="18%"/>
            <w:tcMar>
              <w:top w:type="dxa" w:w="60"/>
              <w:left w:type="dxa" w:w="120"/>
              <w:bottom w:type="dxa" w:w="60"/>
              <w:right w:type="dxa" w:w="120"/>
            </w:tcMar>
          </w:tcPr>
          <w:p>
            <w:pPr>
              <w:spacing w:after="0" w:line="312"/>
            </w:pPr>
            <w:r>
              <w:rPr>
                <w:rFonts w:ascii="Times New Roman" w:eastAsia="Times New Roman"/>
                <w:color w:val="000000"/>
                <w:sz w:val="21"/>
                <w:szCs w:val="21"/>
              </w:rPr>
              <w:t xml:space="preserve">start_capture</w:t>
            </w:r>
          </w:p>
        </w:tc>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UI → Rust</w:t>
            </w:r>
          </w:p>
        </w:tc>
        <w:tc>
          <w:tcPr>
            <w:tcW w:type="pct" w:w="14%"/>
            <w:tcMar>
              <w:top w:type="dxa" w:w="60"/>
              <w:left w:type="dxa" w:w="120"/>
              <w:bottom w:type="dxa" w:w="60"/>
              <w:right w:type="dxa" w:w="120"/>
            </w:tcMar>
          </w:tcPr>
          <w:p>
            <w:pPr>
              <w:spacing w:after="0" w:line="312"/>
            </w:pPr>
            <w:r>
              <w:rPr>
                <w:rFonts w:ascii="Times New Roman" w:eastAsia="Times New Roman"/>
                <w:color w:val="000000"/>
                <w:sz w:val="21"/>
                <w:szCs w:val="21"/>
              </w:rPr>
              <w:t xml:space="preserve">None</w:t>
            </w:r>
          </w:p>
        </w:tc>
        <w:tc>
          <w:tcPr>
            <w:tcW w:type="pct" w:w="34%"/>
            <w:tcMar>
              <w:top w:type="dxa" w:w="60"/>
              <w:left w:type="dxa" w:w="120"/>
              <w:bottom w:type="dxa" w:w="60"/>
              <w:right w:type="dxa" w:w="120"/>
            </w:tcMar>
          </w:tcPr>
          <w:p>
            <w:pPr>
              <w:spacing w:after="0" w:line="312"/>
            </w:pPr>
            <w:r>
              <w:rPr>
                <w:rFonts w:ascii="Times New Roman" w:eastAsia="Times New Roman"/>
                <w:color w:val="000000"/>
                <w:sz w:val="21"/>
                <w:szCs w:val="21"/>
              </w:rPr>
              <w:t xml:space="preserve">Spawns sidecar, starts audio capture and event relay</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Rejected if a capture is already running; surfaced to the user via dialog</w:t>
            </w:r>
          </w:p>
        </w:tc>
      </w:tr>
      <w:tr>
        <w:trPr>
          <w:cantSplit/>
        </w:trPr>
        <w:tc>
          <w:tcPr>
            <w:tcW w:type="pct" w:w="1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stop_capture</w:t>
            </w:r>
          </w:p>
        </w:tc>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UI → Rust</w:t>
            </w:r>
          </w:p>
        </w:tc>
        <w:tc>
          <w:tcPr>
            <w:tcW w:type="pct" w:w="1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None</w:t>
            </w:r>
          </w:p>
        </w:tc>
        <w:tc>
          <w:tcPr>
            <w:tcW w:type="pct" w:w="3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Kills sidecar; audio pipeline terminates via broken pipe</w:t>
            </w:r>
          </w:p>
        </w:tc>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None observed; safe when no capture is running</w:t>
            </w:r>
          </w:p>
        </w:tc>
      </w:tr>
    </w:tbl>
    <w:p>
      <w:pPr>
        <w:pStyle w:val="Heading1"/>
      </w:pPr>
      <w:bookmarkStart w:id="100011" w:name="_Toc100011"/>
      <w:r>
        <w:t xml:space="preserve">7. Event Catalogue</w:t>
      </w:r>
      <w:bookmarkEnd w:id="100011"/>
    </w:p>
    <w:p>
      <w:pPr>
        <w:spacing w:after="120" w:line="312"/>
        <w:jc w:val="both"/>
      </w:pPr>
      <w:r>
        <w:rPr>
          <w:rFonts w:ascii="Times New Roman" w:eastAsia="Times New Roman"/>
          <w:color w:val="000000"/>
          <w:sz w:val="24"/>
          <w:szCs w:val="24"/>
        </w:rPr>
        <w:t xml:space="preserve">The backend emits the following events to the frontend. Payload shapes are normative; see AMI-DAI-005 for the underlying sidecar JSON contracts.</w:t>
      </w:r>
    </w:p>
    <w:p>
      <w:pPr>
        <w:keepNext/>
        <w:spacing w:after="80" w:before="200" w:line="312"/>
      </w:pPr>
      <w:r>
        <w:rPr>
          <w:rFonts w:ascii="Times New Roman" w:eastAsia="Times New Roman"/>
          <w:b/>
          <w:bCs/>
          <w:color w:val="404040"/>
          <w:sz w:val="21"/>
          <w:szCs w:val="21"/>
        </w:rPr>
        <w:t xml:space="preserve">Table 11 — Frontend Events</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tblGrid>
      <w:tr>
        <w:trPr>
          <w:cantSplit/>
          <w:tblHeader/>
        </w:trPr>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Event</w:t>
            </w:r>
          </w:p>
        </w:tc>
        <w:tc>
          <w:tcPr>
            <w:tcW w:type="pct" w:w="30%"/>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Payload</w:t>
            </w:r>
          </w:p>
        </w:tc>
        <w:tc>
          <w:tcPr>
            <w:tcW w:type="pct" w:w="4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UI Effect</w:t>
            </w:r>
          </w:p>
        </w:tc>
      </w:tr>
      <w:tr>
        <w:trPr>
          <w:cantSplit/>
        </w:trPr>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transcript_partial</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text, speaker</w:t>
            </w:r>
          </w:p>
        </w:tc>
        <w:tc>
          <w:tcPr>
            <w:tcW w:type="pct" w:w="46%"/>
            <w:tcMar>
              <w:top w:type="dxa" w:w="60"/>
              <w:left w:type="dxa" w:w="120"/>
              <w:bottom w:type="dxa" w:w="60"/>
              <w:right w:type="dxa" w:w="120"/>
            </w:tcMar>
          </w:tcPr>
          <w:p>
            <w:pPr>
              <w:spacing w:after="0" w:line="312"/>
            </w:pPr>
            <w:r>
              <w:rPr>
                <w:rFonts w:ascii="Times New Roman" w:eastAsia="Times New Roman"/>
                <w:color w:val="000000"/>
                <w:sz w:val="21"/>
                <w:szCs w:val="21"/>
              </w:rPr>
              <w:t xml:space="preserve">Updates the in-place partial transcript line</w:t>
            </w:r>
          </w:p>
        </w:tc>
      </w:tr>
      <w:tr>
        <w:trPr>
          <w:cantSplit/>
        </w:trPr>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transcript_final</w:t>
            </w:r>
          </w:p>
        </w:tc>
        <w:tc>
          <w:tcPr>
            <w:tcW w:type="pct" w:w="3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text, speaker</w:t>
            </w:r>
          </w:p>
        </w:tc>
        <w:tc>
          <w:tcPr>
            <w:tcW w:type="pct" w:w="4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Appends final utterance to history; clears partial line</w:t>
            </w:r>
          </w:p>
        </w:tc>
      </w:tr>
      <w:tr>
        <w:trPr>
          <w:cantSplit/>
        </w:trPr>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context_explanation</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text</w:t>
            </w:r>
          </w:p>
        </w:tc>
        <w:tc>
          <w:tcPr>
            <w:tcW w:type="pct" w:w="46%"/>
            <w:tcMar>
              <w:top w:type="dxa" w:w="60"/>
              <w:left w:type="dxa" w:w="120"/>
              <w:bottom w:type="dxa" w:w="60"/>
              <w:right w:type="dxa" w:w="120"/>
            </w:tcMar>
          </w:tcPr>
          <w:p>
            <w:pPr>
              <w:spacing w:after="0" w:line="312"/>
            </w:pPr>
            <w:r>
              <w:rPr>
                <w:rFonts w:ascii="Times New Roman" w:eastAsia="Times New Roman"/>
                <w:color w:val="000000"/>
                <w:sz w:val="21"/>
                <w:szCs w:val="21"/>
              </w:rPr>
              <w:t xml:space="preserve">Appends an explanation card to Pane 2</w:t>
            </w:r>
          </w:p>
        </w:tc>
      </w:tr>
      <w:tr>
        <w:trPr>
          <w:cantSplit/>
        </w:trPr>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chunk_significance</w:t>
            </w:r>
          </w:p>
        </w:tc>
        <w:tc>
          <w:tcPr>
            <w:tcW w:type="pct" w:w="3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level (none/low/medium/high)</w:t>
            </w:r>
          </w:p>
        </w:tc>
        <w:tc>
          <w:tcPr>
            <w:tcW w:type="pct" w:w="4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Updates the significance badge</w:t>
            </w:r>
          </w:p>
        </w:tc>
      </w:tr>
      <w:tr>
        <w:trPr>
          <w:cantSplit/>
        </w:trPr>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meeting_decisions</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array of decision objects</w:t>
            </w:r>
          </w:p>
        </w:tc>
        <w:tc>
          <w:tcPr>
            <w:tcW w:type="pct" w:w="46%"/>
            <w:tcMar>
              <w:top w:type="dxa" w:w="60"/>
              <w:left w:type="dxa" w:w="120"/>
              <w:bottom w:type="dxa" w:w="60"/>
              <w:right w:type="dxa" w:w="120"/>
            </w:tcMar>
          </w:tcPr>
          <w:p>
            <w:pPr>
              <w:spacing w:after="0" w:line="312"/>
            </w:pPr>
            <w:r>
              <w:rPr>
                <w:rFonts w:ascii="Times New Roman" w:eastAsia="Times New Roman"/>
                <w:color w:val="000000"/>
                <w:sz w:val="21"/>
                <w:szCs w:val="21"/>
              </w:rPr>
              <w:t xml:space="preserve">Appends decision cards to Pane 3</w:t>
            </w:r>
          </w:p>
        </w:tc>
      </w:tr>
      <w:tr>
        <w:trPr>
          <w:cantSplit/>
        </w:trPr>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meeting_action_items</w:t>
            </w:r>
          </w:p>
        </w:tc>
        <w:tc>
          <w:tcPr>
            <w:tcW w:type="pct" w:w="3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array of action item objects</w:t>
            </w:r>
          </w:p>
        </w:tc>
        <w:tc>
          <w:tcPr>
            <w:tcW w:type="pct" w:w="4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Appends action item cards to Pane 3</w:t>
            </w:r>
          </w:p>
        </w:tc>
      </w:tr>
      <w:tr>
        <w:trPr>
          <w:cantSplit/>
        </w:trPr>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suggested_response</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text</w:t>
            </w:r>
          </w:p>
        </w:tc>
        <w:tc>
          <w:tcPr>
            <w:tcW w:type="pct" w:w="46%"/>
            <w:tcMar>
              <w:top w:type="dxa" w:w="60"/>
              <w:left w:type="dxa" w:w="120"/>
              <w:bottom w:type="dxa" w:w="60"/>
              <w:right w:type="dxa" w:w="120"/>
            </w:tcMar>
          </w:tcPr>
          <w:p>
            <w:pPr>
              <w:spacing w:after="0" w:line="312"/>
            </w:pPr>
            <w:r>
              <w:rPr>
                <w:rFonts w:ascii="Times New Roman" w:eastAsia="Times New Roman"/>
                <w:color w:val="000000"/>
                <w:sz w:val="21"/>
                <w:szCs w:val="21"/>
              </w:rPr>
              <w:t xml:space="preserve">Appends a suggested-reply card to Pane 3</w:t>
            </w:r>
          </w:p>
        </w:tc>
      </w:tr>
      <w:tr>
        <w:trPr>
          <w:cantSplit/>
        </w:trPr>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circuit_breaker</w:t>
            </w:r>
          </w:p>
        </w:tc>
        <w:tc>
          <w:tcPr>
            <w:tcW w:type="pct" w:w="3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none</w:t>
            </w:r>
          </w:p>
        </w:tc>
        <w:tc>
          <w:tcPr>
            <w:tcW w:type="pct" w:w="4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Sets status to Cost Limit Reached; alerts the user</w:t>
            </w:r>
          </w:p>
        </w:tc>
      </w:tr>
      <w:tr>
        <w:trPr>
          <w:cantSplit/>
        </w:trPr>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capture_error</w:t>
            </w:r>
          </w:p>
        </w:tc>
        <w:tc>
          <w:tcPr>
            <w:tcW w:type="pct" w:w="30%"/>
            <w:tcMar>
              <w:top w:type="dxa" w:w="60"/>
              <w:left w:type="dxa" w:w="120"/>
              <w:bottom w:type="dxa" w:w="60"/>
              <w:right w:type="dxa" w:w="120"/>
            </w:tcMar>
          </w:tcPr>
          <w:p>
            <w:pPr>
              <w:spacing w:after="0" w:line="312"/>
            </w:pPr>
            <w:r>
              <w:rPr>
                <w:rFonts w:ascii="Times New Roman" w:eastAsia="Times New Roman"/>
                <w:color w:val="000000"/>
                <w:sz w:val="21"/>
                <w:szCs w:val="21"/>
              </w:rPr>
              <w:t xml:space="preserve">message</w:t>
            </w:r>
          </w:p>
        </w:tc>
        <w:tc>
          <w:tcPr>
            <w:tcW w:type="pct" w:w="46%"/>
            <w:tcMar>
              <w:top w:type="dxa" w:w="60"/>
              <w:left w:type="dxa" w:w="120"/>
              <w:bottom w:type="dxa" w:w="60"/>
              <w:right w:type="dxa" w:w="120"/>
            </w:tcMar>
          </w:tcPr>
          <w:p>
            <w:pPr>
              <w:spacing w:after="0" w:line="312"/>
            </w:pPr>
            <w:r>
              <w:rPr>
                <w:rFonts w:ascii="Times New Roman" w:eastAsia="Times New Roman"/>
                <w:color w:val="000000"/>
                <w:sz w:val="21"/>
                <w:szCs w:val="21"/>
              </w:rPr>
              <w:t xml:space="preserve">Resets controls; shows error alert</w:t>
            </w:r>
          </w:p>
        </w:tc>
      </w:tr>
    </w:tbl>
    <w:p>
      <w:pPr>
        <w:pStyle w:val="Heading1"/>
      </w:pPr>
      <w:bookmarkStart w:id="100012" w:name="_Toc100012"/>
      <w:r>
        <w:t xml:space="preserve">8. Significance Grading Behaviour</w:t>
      </w:r>
      <w:bookmarkEnd w:id="100012"/>
    </w:p>
    <w:p>
      <w:pPr>
        <w:spacing w:after="120" w:line="312"/>
        <w:jc w:val="both"/>
      </w:pPr>
      <w:r>
        <w:rPr>
          <w:rFonts w:ascii="Times New Roman" w:eastAsia="Times New Roman"/>
          <w:color w:val="000000"/>
          <w:sz w:val="24"/>
          <w:szCs w:val="24"/>
        </w:rPr>
        <w:t xml:space="preserve">The Context Manager grades every analysed chunk. The grade determines both processing depth and presentation.</w:t>
      </w:r>
    </w:p>
    <w:p>
      <w:pPr>
        <w:keepNext/>
        <w:spacing w:after="80" w:before="200" w:line="312"/>
      </w:pPr>
      <w:r>
        <w:rPr>
          <w:rFonts w:ascii="Times New Roman" w:eastAsia="Times New Roman"/>
          <w:b/>
          <w:bCs/>
          <w:color w:val="404040"/>
          <w:sz w:val="21"/>
          <w:szCs w:val="21"/>
        </w:rPr>
        <w:t xml:space="preserve">Table 12 — Significance Grades and Consequences</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1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Grade</w:t>
            </w:r>
          </w:p>
        </w:tc>
        <w:tc>
          <w:tcPr>
            <w:tcW w:type="pct" w:w="4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Definition</w:t>
            </w:r>
          </w:p>
        </w:tc>
        <w:tc>
          <w:tcPr>
            <w:tcW w:type="pct" w:w="1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Badge</w:t>
            </w:r>
          </w:p>
        </w:tc>
        <w:tc>
          <w:tcPr>
            <w:tcW w:type="pct" w:w="3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Downstream Stages</w:t>
            </w:r>
          </w:p>
        </w:tc>
      </w:tr>
      <w:tr>
        <w:trPr>
          <w:cantSplit/>
        </w:trPr>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none</w:t>
            </w:r>
          </w:p>
        </w:tc>
        <w:tc>
          <w:tcPr>
            <w:tcW w:type="pct" w:w="42%"/>
            <w:tcMar>
              <w:top w:type="dxa" w:w="60"/>
              <w:left w:type="dxa" w:w="120"/>
              <w:bottom w:type="dxa" w:w="60"/>
              <w:right w:type="dxa" w:w="120"/>
            </w:tcMar>
          </w:tcPr>
          <w:p>
            <w:pPr>
              <w:spacing w:after="0" w:line="312"/>
            </w:pPr>
            <w:r>
              <w:rPr>
                <w:rFonts w:ascii="Times New Roman" w:eastAsia="Times New Roman"/>
                <w:color w:val="000000"/>
                <w:sz w:val="21"/>
                <w:szCs w:val="21"/>
              </w:rPr>
              <w:t xml:space="preserve">Filler or meaningless audio (crosstalk, noise)</w:t>
            </w:r>
          </w:p>
        </w:tc>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White</w:t>
            </w:r>
          </w:p>
        </w:tc>
        <w:tc>
          <w:tcPr>
            <w:tcW w:type="pct" w:w="34%"/>
            <w:tcMar>
              <w:top w:type="dxa" w:w="60"/>
              <w:left w:type="dxa" w:w="120"/>
              <w:bottom w:type="dxa" w:w="60"/>
              <w:right w:type="dxa" w:w="120"/>
            </w:tcMar>
          </w:tcPr>
          <w:p>
            <w:pPr>
              <w:spacing w:after="0" w:line="312"/>
            </w:pPr>
            <w:r>
              <w:rPr>
                <w:rFonts w:ascii="Times New Roman" w:eastAsia="Times New Roman"/>
                <w:color w:val="000000"/>
                <w:sz w:val="21"/>
                <w:szCs w:val="21"/>
              </w:rPr>
              <w:t xml:space="preserve">None</w:t>
            </w:r>
          </w:p>
        </w:tc>
      </w:tr>
      <w:tr>
        <w:trPr>
          <w:cantSplit/>
        </w:trPr>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low</w:t>
            </w:r>
          </w:p>
        </w:tc>
        <w:tc>
          <w:tcPr>
            <w:tcW w:type="pct" w:w="4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Chit-chat and social talk</w:t>
            </w:r>
          </w:p>
        </w:tc>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Green</w:t>
            </w:r>
          </w:p>
        </w:tc>
        <w:tc>
          <w:tcPr>
            <w:tcW w:type="pct" w:w="3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None</w:t>
            </w:r>
          </w:p>
        </w:tc>
      </w:tr>
      <w:tr>
        <w:trPr>
          <w:cantSplit/>
        </w:trPr>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medium</w:t>
            </w:r>
          </w:p>
        </w:tc>
        <w:tc>
          <w:tcPr>
            <w:tcW w:type="pct" w:w="42%"/>
            <w:tcMar>
              <w:top w:type="dxa" w:w="60"/>
              <w:left w:type="dxa" w:w="120"/>
              <w:bottom w:type="dxa" w:w="60"/>
              <w:right w:type="dxa" w:w="120"/>
            </w:tcMar>
          </w:tcPr>
          <w:p>
            <w:pPr>
              <w:spacing w:after="0" w:line="312"/>
            </w:pPr>
            <w:r>
              <w:rPr>
                <w:rFonts w:ascii="Times New Roman" w:eastAsia="Times New Roman"/>
                <w:color w:val="000000"/>
                <w:sz w:val="21"/>
                <w:szCs w:val="21"/>
              </w:rPr>
              <w:t xml:space="preserve">Normal discussion of substance</w:t>
            </w:r>
          </w:p>
        </w:tc>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Yellow</w:t>
            </w:r>
          </w:p>
        </w:tc>
        <w:tc>
          <w:tcPr>
            <w:tcW w:type="pct" w:w="34%"/>
            <w:tcMar>
              <w:top w:type="dxa" w:w="60"/>
              <w:left w:type="dxa" w:w="120"/>
              <w:bottom w:type="dxa" w:w="60"/>
              <w:right w:type="dxa" w:w="120"/>
            </w:tcMar>
          </w:tcPr>
          <w:p>
            <w:pPr>
              <w:spacing w:after="0" w:line="312"/>
            </w:pPr>
            <w:r>
              <w:rPr>
                <w:rFonts w:ascii="Times New Roman" w:eastAsia="Times New Roman"/>
                <w:color w:val="000000"/>
                <w:sz w:val="21"/>
                <w:szCs w:val="21"/>
              </w:rPr>
              <w:t xml:space="preserve">Explanation</w:t>
            </w:r>
          </w:p>
        </w:tc>
      </w:tr>
      <w:tr>
        <w:trPr>
          <w:cantSplit/>
        </w:trPr>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high</w:t>
            </w:r>
          </w:p>
        </w:tc>
        <w:tc>
          <w:tcPr>
            <w:tcW w:type="pct" w:w="4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Important decisions or technical explanations</w:t>
            </w:r>
          </w:p>
        </w:tc>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Red</w:t>
            </w:r>
          </w:p>
        </w:tc>
        <w:tc>
          <w:tcPr>
            <w:tcW w:type="pct" w:w="3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Explanation + Analyst + Response (parallel)</w:t>
            </w:r>
          </w:p>
        </w:tc>
      </w:tr>
    </w:tbl>
    <w:p>
      <w:pPr>
        <w:pStyle w:val="Heading1"/>
      </w:pPr>
      <w:bookmarkStart w:id="100013" w:name="_Toc100013"/>
      <w:r>
        <w:t xml:space="preserve">9. Error and Circuit-Breaker Behaviour</w:t>
      </w:r>
      <w:bookmarkEnd w:id="100013"/>
    </w:p>
    <w:p>
      <w:pPr>
        <w:spacing w:after="120" w:line="312"/>
        <w:jc w:val="both"/>
      </w:pPr>
      <w:r>
        <w:rPr>
          <w:rFonts w:ascii="Times New Roman" w:eastAsia="Times New Roman"/>
          <w:color w:val="000000"/>
          <w:sz w:val="24"/>
          <w:szCs w:val="24"/>
        </w:rPr>
        <w:t xml:space="preserve">Errors are surfaced rather than suppressed. A backend error resets the UI to idle with an alert carrying the message. When the circuit breaker trips, AI processing stops for the remainder of the session while transcription itself continues; the user is told plainly that further AI processing is paused to control costs. This is a deliberate product decision documented in code and regarded as good practice for a cost-exposed real-time system.</w:t>
      </w:r>
    </w:p>
    <w:p>
      <w:pPr>
        <w:pStyle w:val="Heading1"/>
      </w:pPr>
      <w:bookmarkStart w:id="100014" w:name="_Toc100014"/>
      <w:r>
        <w:t xml:space="preserve">10. Non-Functional Requirements</w:t>
      </w:r>
      <w:bookmarkEnd w:id="100014"/>
    </w:p>
    <w:p>
      <w:pPr>
        <w:keepNext/>
        <w:spacing w:after="80" w:before="200" w:line="312"/>
      </w:pPr>
      <w:r>
        <w:rPr>
          <w:rFonts w:ascii="Times New Roman" w:eastAsia="Times New Roman"/>
          <w:b/>
          <w:bCs/>
          <w:color w:val="404040"/>
          <w:sz w:val="21"/>
          <w:szCs w:val="21"/>
        </w:rPr>
        <w:t xml:space="preserve">Table 13 — Observed and Recommended NFRs</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tblGrid>
      <w:tr>
        <w:trPr>
          <w:cantSplit/>
          <w:tblHeader/>
        </w:trPr>
        <w:tc>
          <w:tcPr>
            <w:tcW w:type="pct" w:w="1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Category</w:t>
            </w:r>
          </w:p>
        </w:tc>
        <w:tc>
          <w:tcPr>
            <w:tcW w:type="pct" w:w="4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Current Behaviour</w:t>
            </w:r>
          </w:p>
        </w:tc>
        <w:tc>
          <w:tcPr>
            <w:tcW w:type="pct" w:w="4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Recommended Target</w:t>
            </w:r>
          </w:p>
        </w:tc>
      </w:tr>
      <w:tr>
        <w:trPr>
          <w:cantSplit/>
        </w:trPr>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Latency</w:t>
            </w:r>
          </w:p>
        </w:tc>
        <w:tc>
          <w:tcPr>
            <w:tcW w:type="pct" w:w="42%"/>
            <w:tcMar>
              <w:top w:type="dxa" w:w="60"/>
              <w:left w:type="dxa" w:w="120"/>
              <w:bottom w:type="dxa" w:w="60"/>
              <w:right w:type="dxa" w:w="120"/>
            </w:tcMar>
          </w:tcPr>
          <w:p>
            <w:pPr>
              <w:spacing w:after="0" w:line="312"/>
            </w:pPr>
            <w:r>
              <w:rPr>
                <w:rFonts w:ascii="Times New Roman" w:eastAsia="Times New Roman"/>
                <w:color w:val="000000"/>
                <w:sz w:val="21"/>
                <w:szCs w:val="21"/>
              </w:rPr>
              <w:t xml:space="preserve">250 ms audio chunking plus STT service latency; UI updates event-driven</w:t>
            </w:r>
          </w:p>
        </w:tc>
        <w:tc>
          <w:tcPr>
            <w:tcW w:type="pct" w:w="42%"/>
            <w:tcMar>
              <w:top w:type="dxa" w:w="60"/>
              <w:left w:type="dxa" w:w="120"/>
              <w:bottom w:type="dxa" w:w="60"/>
              <w:right w:type="dxa" w:w="120"/>
            </w:tcMar>
          </w:tcPr>
          <w:p>
            <w:pPr>
              <w:spacing w:after="0" w:line="312"/>
            </w:pPr>
            <w:r>
              <w:rPr>
                <w:rFonts w:ascii="Times New Roman" w:eastAsia="Times New Roman"/>
                <w:color w:val="000000"/>
                <w:sz w:val="21"/>
                <w:szCs w:val="21"/>
              </w:rPr>
              <w:t xml:space="preserve">Keep perceived transcription delay under ~1.5 s on broadband</w:t>
            </w:r>
          </w:p>
        </w:tc>
      </w:tr>
      <w:tr>
        <w:trPr>
          <w:cantSplit/>
        </w:trPr>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Throughput</w:t>
            </w:r>
          </w:p>
        </w:tc>
        <w:tc>
          <w:tcPr>
            <w:tcW w:type="pct" w:w="4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16 kHz mono PCM16 (~32 KB/s raw audio)</w:t>
            </w:r>
          </w:p>
        </w:tc>
        <w:tc>
          <w:tcPr>
            <w:tcW w:type="pct" w:w="4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No change required</w:t>
            </w:r>
          </w:p>
        </w:tc>
      </w:tr>
      <w:tr>
        <w:trPr>
          <w:cantSplit/>
        </w:trPr>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Cost control</w:t>
            </w:r>
          </w:p>
        </w:tc>
        <w:tc>
          <w:tcPr>
            <w:tcW w:type="pct" w:w="42%"/>
            <w:tcMar>
              <w:top w:type="dxa" w:w="60"/>
              <w:left w:type="dxa" w:w="120"/>
              <w:bottom w:type="dxa" w:w="60"/>
              <w:right w:type="dxa" w:w="120"/>
            </w:tcMar>
          </w:tcPr>
          <w:p>
            <w:pPr>
              <w:spacing w:after="0" w:line="312"/>
            </w:pPr>
            <w:r>
              <w:rPr>
                <w:rFonts w:ascii="Times New Roman" w:eastAsia="Times New Roman"/>
                <w:color w:val="000000"/>
                <w:sz w:val="21"/>
                <w:szCs w:val="21"/>
              </w:rPr>
              <w:t xml:space="preserve">200-call circuit breaker; significance gating</w:t>
            </w:r>
          </w:p>
        </w:tc>
        <w:tc>
          <w:tcPr>
            <w:tcW w:type="pct" w:w="42%"/>
            <w:tcMar>
              <w:top w:type="dxa" w:w="60"/>
              <w:left w:type="dxa" w:w="120"/>
              <w:bottom w:type="dxa" w:w="60"/>
              <w:right w:type="dxa" w:w="120"/>
            </w:tcMar>
          </w:tcPr>
          <w:p>
            <w:pPr>
              <w:spacing w:after="0" w:line="312"/>
            </w:pPr>
            <w:r>
              <w:rPr>
                <w:rFonts w:ascii="Times New Roman" w:eastAsia="Times New Roman"/>
                <w:color w:val="000000"/>
                <w:sz w:val="21"/>
                <w:szCs w:val="21"/>
              </w:rPr>
              <w:t xml:space="preserve">Make the cap configurable; add per-meeting cost reporting</w:t>
            </w:r>
          </w:p>
        </w:tc>
      </w:tr>
      <w:tr>
        <w:trPr>
          <w:cantSplit/>
        </w:trPr>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Availability</w:t>
            </w:r>
          </w:p>
        </w:tc>
        <w:tc>
          <w:tcPr>
            <w:tcW w:type="pct" w:w="4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Desktop-local; degrades gracefully without database</w:t>
            </w:r>
          </w:p>
        </w:tc>
        <w:tc>
          <w:tcPr>
            <w:tcW w:type="pct" w:w="4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Add sidecar supervision and restart</w:t>
            </w:r>
          </w:p>
        </w:tc>
      </w:tr>
      <w:tr>
        <w:trPr>
          <w:cantSplit/>
        </w:trPr>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Portability</w:t>
            </w:r>
          </w:p>
        </w:tc>
        <w:tc>
          <w:tcPr>
            <w:tcW w:type="pct" w:w="42%"/>
            <w:tcMar>
              <w:top w:type="dxa" w:w="60"/>
              <w:left w:type="dxa" w:w="120"/>
              <w:bottom w:type="dxa" w:w="60"/>
              <w:right w:type="dxa" w:w="120"/>
            </w:tcMar>
          </w:tcPr>
          <w:p>
            <w:pPr>
              <w:spacing w:after="0" w:line="312"/>
            </w:pPr>
            <w:r>
              <w:rPr>
                <w:rFonts w:ascii="Times New Roman" w:eastAsia="Times New Roman"/>
                <w:color w:val="000000"/>
                <w:sz w:val="21"/>
                <w:szCs w:val="21"/>
              </w:rPr>
              <w:t xml:space="preserve">Windows-validated (WASAPI loopback)</w:t>
            </w:r>
          </w:p>
        </w:tc>
        <w:tc>
          <w:tcPr>
            <w:tcW w:type="pct" w:w="42%"/>
            <w:tcMar>
              <w:top w:type="dxa" w:w="60"/>
              <w:left w:type="dxa" w:w="120"/>
              <w:bottom w:type="dxa" w:w="60"/>
              <w:right w:type="dxa" w:w="120"/>
            </w:tcMar>
          </w:tcPr>
          <w:p>
            <w:pPr>
              <w:spacing w:after="0" w:line="312"/>
            </w:pPr>
            <w:r>
              <w:rPr>
                <w:rFonts w:ascii="Times New Roman" w:eastAsia="Times New Roman"/>
                <w:color w:val="000000"/>
                <w:sz w:val="21"/>
                <w:szCs w:val="21"/>
              </w:rPr>
              <w:t xml:space="preserve">Validate macOS/Linux capture paths</w:t>
            </w:r>
          </w:p>
        </w:tc>
      </w:tr>
      <w:tr>
        <w:trPr>
          <w:cantSplit/>
        </w:trPr>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Accessibility</w:t>
            </w:r>
          </w:p>
        </w:tc>
        <w:tc>
          <w:tcPr>
            <w:tcW w:type="pct" w:w="4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Not assessed; emoji-based indicators present contrast limits</w:t>
            </w:r>
          </w:p>
        </w:tc>
        <w:tc>
          <w:tcPr>
            <w:tcW w:type="pct" w:w="4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Add text/ARIA equivalents before wider release</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2" w:space="4"/>
      </w:pBdr>
      <w:jc w:val="right"/>
    </w:pPr>
    <w:r>
      <w:rPr>
        <w:rFonts w:ascii="Times New Roman" w:eastAsia="Times New Roman"/>
        <w:color w:val="A0A0A0"/>
        <w:sz w:val="16"/>
        <w:szCs w:val="16"/>
      </w:rPr>
      <w:t xml:space="preserve">Functional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Times New Roman"/>
      <w:b/>
      <w:bCs/>
      <w:color w:val="000000"/>
      <w:sz w:val="32"/>
      <w:szCs w:val="32"/>
    </w:rPr>
  </w:style>
  <w:style w:type="paragraph" w:styleId="Heading2">
    <w:name w:val="Heading 2"/>
    <w:basedOn w:val="Normal"/>
    <w:next w:val="Normal"/>
    <w:qFormat/>
    <w:pPr>
      <w:spacing w:after="120" w:before="280" w:line="312"/>
      <w:outlineLvl w:val="1"/>
    </w:pPr>
    <w:rPr>
      <w:rFonts w:ascii="Times New Roman" w:eastAsia="Times New Roman"/>
      <w:b/>
      <w:bCs/>
      <w:color w:val="000000"/>
      <w:sz w:val="28"/>
      <w:szCs w:val="28"/>
    </w:rPr>
  </w:style>
  <w:style w:type="paragraph" w:styleId="Heading3">
    <w:name w:val="Heading 3"/>
    <w:basedOn w:val="Normal"/>
    <w:next w:val="Normal"/>
    <w:qFormat/>
    <w:pPr>
      <w:spacing w:after="100" w:before="240" w:line="312"/>
      <w:outlineLvl w:val="2"/>
    </w:pPr>
    <w:rPr>
      <w:rFonts w:ascii="Times New Roman" w:eastAsia="Times New Roman"/>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dc:title>
  <dc:creator>Technology Advisory Practice</dc:creator>
  <cp:lastModifiedBy>Un-named</cp:lastModifiedBy>
  <cp:revision>1</cp:revision>
  <dcterms:created xsi:type="dcterms:W3CDTF">2026-08-18T04:50:54.161Z</dcterms:created>
  <dcterms:modified xsi:type="dcterms:W3CDTF">2026-08-18T04:50:54.161Z</dcterms:modified>
</cp:coreProperties>
</file>

<file path=docProps/custom.xml><?xml version="1.0" encoding="utf-8"?>
<Properties xmlns="http://schemas.openxmlformats.org/officeDocument/2006/custom-properties" xmlns:vt="http://schemas.openxmlformats.org/officeDocument/2006/docPropsVTypes"/>
</file>