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Technical Design</w:t>
            </w:r>
          </w:p>
          <w:p>
            <w:pPr>
              <w:spacing w:after="300" w:line="920" w:lineRule="atLeast"/>
              <w:ind w:left="1200"/>
            </w:pPr>
            <w:r>
              <w:rPr>
                <w:rFonts w:ascii="Times New Roman" w:eastAsia="Times New Roman"/>
                <w:b/>
                <w:bCs/>
                <w:color w:val="000000"/>
                <w:sz w:val="80"/>
                <w:szCs w:val="80"/>
              </w:rPr>
              <w:t xml:space="preserve">Document</w:t>
            </w:r>
          </w:p>
          <w:p>
            <w:pPr>
              <w:spacing w:after="800"/>
              <w:ind w:left="1200"/>
            </w:pPr>
            <w:r>
              <w:rPr>
                <w:rFonts w:ascii="Times New Roman" w:eastAsia="Times New Roman"/>
                <w:color w:val="606060"/>
                <w:sz w:val="24"/>
                <w:szCs w:val="24"/>
              </w:rPr>
              <w:t xml:space="preserve">AI Meeting Interpreter — Module-Level Design</w:t>
            </w:r>
          </w:p>
          <w:p>
            <w:pPr>
              <w:pBdr>
                <w:left w:val="single" w:color="D6C096" w:sz="8" w:space="12"/>
              </w:pBdr>
              <w:spacing w:after="80"/>
              <w:ind w:left="1400"/>
            </w:pPr>
            <w:r>
              <w:rPr>
                <w:rFonts w:ascii="Times New Roman" w:eastAsia="Times New Roman"/>
                <w:color w:val="707070"/>
                <w:sz w:val="24"/>
                <w:szCs w:val="24"/>
              </w:rPr>
              <w:t xml:space="preserve">Document AMI-TDD-004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Design Document</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AMI-TDD-004</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Rust Audio Core (src-tauri/src)</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lib.rs — IPC Commands and Process Lifecycle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audio.rs — Capture, Mixing and the PcmSink Abstraction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resample.rs — FFT Resampling with Buffered Blocks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streaming.rs — The PCM1 Framed Sink</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wav_sink.rs — Debug Sink</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Node.js Sidecar (gateway)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sidecar.js — Frame Parser, STT Streaming and Event Emission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agent.js — Four-Stage Gemini Pipeline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db.js — Batched Persistence with Graceful Degradation</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Frontend (src)</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main.ts — Event-Driven Rendering</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styles.css — Visual System</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index.html — Shell</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5. Key Algorithms and Parameters</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6. Threading and Concurrency Model</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7. Extensibility Notes</w:t>
            </w:r>
            <w:r>
              <w:tab/>
            </w:r>
            <w:r>
              <w:fldChar w:fldCharType="begin"/>
            </w:r>
            <w:r>
              <w:instrText xml:space="preserve"> PAGEREF _Toc100017 \h </w:instrText>
            </w:r>
            <w:r>
              <w:fldChar w:fldCharType="separate"/>
            </w:r>
            <w:r>
              <w:t>7</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Introduction</w:t>
      </w:r>
      <w:bookmarkEnd w:id="100000"/>
    </w:p>
    <w:p>
      <w:pPr>
        <w:spacing w:after="120" w:line="312"/>
        <w:jc w:val="both"/>
      </w:pPr>
      <w:r>
        <w:rPr>
          <w:rFonts w:ascii="Times New Roman" w:eastAsia="Times New Roman"/>
          <w:color w:val="000000"/>
          <w:sz w:val="24"/>
          <w:szCs w:val="24"/>
        </w:rPr>
        <w:t xml:space="preserve">This Technical Design Document describes the module-level design of the AI Meeting Interpreter as implemented. It is written for software engineers who will extend or maintain the system. Architecture-level context is in AMI-ARC-002; wire formats and data contracts are in AMI-DAI-005.</w:t>
      </w:r>
    </w:p>
    <w:p>
      <w:pPr>
        <w:pStyle w:val="Heading1"/>
      </w:pPr>
      <w:bookmarkStart w:id="100001" w:name="_Toc100001"/>
      <w:r>
        <w:t xml:space="preserve">2. Rust Audio Core (src-tauri/src)</w:t>
      </w:r>
      <w:bookmarkEnd w:id="100001"/>
    </w:p>
    <w:p>
      <w:pPr>
        <w:pStyle w:val="Heading2"/>
      </w:pPr>
      <w:bookmarkStart w:id="100002" w:name="_Toc100002"/>
      <w:r>
        <w:t xml:space="preserve">2.1 lib.rs — IPC Commands and Process Lifecycle</w:t>
      </w:r>
      <w:bookmarkEnd w:id="100002"/>
    </w:p>
    <w:p>
      <w:pPr>
        <w:spacing w:after="120" w:line="312"/>
        <w:jc w:val="both"/>
      </w:pPr>
      <w:r>
        <w:rPr>
          <w:rFonts w:ascii="Times New Roman" w:eastAsia="Times New Roman"/>
          <w:color w:val="000000"/>
          <w:sz w:val="24"/>
          <w:szCs w:val="24"/>
        </w:rPr>
        <w:t xml:space="preserve">lib.rs owns application state (an AppState holding the sidecar child process behind a Mutex) and the two Tauri commands. start_capture performs three ordered steps: spawn the sidecar with piped stdin/stdout and inherited stderr; start a capture thread configured for infinite duration at 16 kHz mono; start a reader thread that parses each stdout line into a SidecarEvent and maps event types onto Tauri frontend events. Unknown event types (for example connection bookkeeping) are ignored deliberately. stop_capture kills and waits on the child. Because the capture loop writes into the sidecar's stdin, killing the child closes the pipe and the loop terminates on write failure — an explicit design decision that avoids a second shutdown channel.</w:t>
      </w:r>
    </w:p>
    <w:p>
      <w:pPr>
        <w:spacing w:after="120" w:line="312"/>
        <w:jc w:val="both"/>
      </w:pPr>
      <w:r>
        <w:rPr>
          <w:rFonts w:ascii="Times New Roman" w:eastAsia="Times New Roman"/>
          <w:color w:val="000000"/>
          <w:sz w:val="24"/>
          <w:szCs w:val="24"/>
        </w:rPr>
        <w:t xml:space="preserve">The SidecarEvent struct is permissive (all fields optional, items as untyped JSON) so that new sidecar events do not break deserialization; the relay simply ignores events it does not map.</w:t>
      </w:r>
    </w:p>
    <w:p>
      <w:pPr>
        <w:pStyle w:val="Heading2"/>
      </w:pPr>
      <w:bookmarkStart w:id="100003" w:name="_Toc100003"/>
      <w:r>
        <w:t xml:space="preserve">2.2 audio.rs — Capture, Mixing and the PcmSink Abstraction</w:t>
      </w:r>
      <w:bookmarkEnd w:id="100003"/>
    </w:p>
    <w:p>
      <w:pPr>
        <w:spacing w:after="120" w:line="312"/>
        <w:jc w:val="both"/>
      </w:pPr>
      <w:r>
        <w:rPr>
          <w:rFonts w:ascii="Times New Roman" w:eastAsia="Times New Roman"/>
          <w:color w:val="000000"/>
          <w:sz w:val="24"/>
          <w:szCs w:val="24"/>
        </w:rPr>
        <w:t xml:space="preserve">audio.rs is sink-agnostic: capture_to_sink accepts any implementation of the PcmSink trait (write_samples plus finalize), which decouples capture from its consumers (a WAV writer for debugging and the streaming sink for production). The module opens the default output device as a loopback source via cpal (WASAPI loopback is used transparently on Windows), reads the device's default output configuration, and builds an input stream matching the native sample format (F32, I16 or U16; other formats are rejected with a clear error).</w:t>
      </w:r>
    </w:p>
    <w:p>
      <w:pPr>
        <w:spacing w:after="120" w:line="312"/>
        <w:jc w:val="both"/>
      </w:pPr>
      <w:r>
        <w:rPr>
          <w:rFonts w:ascii="Times New Roman" w:eastAsia="Times New Roman"/>
          <w:color w:val="000000"/>
          <w:sz w:val="24"/>
          <w:szCs w:val="24"/>
        </w:rPr>
        <w:t xml:space="preserve">Each audio callback runs the same four-step transformation: downmix to mono by averaging channels when needed; resample to the target rate if it differs from the source; convert float samples to clamped 16-bit PCM; send the batch over an mpsc channel to the mixer. A second, independently built stream captures the default microphone with the same transformation. The mixer thread drains both channels into VecDeque buffers, sums corresponding samples in 32-bit arithmetic with clamping to the 16-bit range, and writes the mixed mono signal into the sink on a 20 ms cadence. If no microphone can be opened the system warns and continues with loopback only — capture never hard-fails on mic unavailability.</w:t>
      </w:r>
    </w:p>
    <w:p>
      <w:pPr>
        <w:pStyle w:val="Heading2"/>
      </w:pPr>
      <w:bookmarkStart w:id="100004" w:name="_Toc100004"/>
      <w:r>
        <w:t xml:space="preserve">2.3 resample.rs — FFT Resampling with Buffered Blocks</w:t>
      </w:r>
      <w:bookmarkEnd w:id="100004"/>
    </w:p>
    <w:p>
      <w:pPr>
        <w:spacing w:after="120" w:line="312"/>
        <w:jc w:val="both"/>
      </w:pPr>
      <w:r>
        <w:rPr>
          <w:rFonts w:ascii="Times New Roman" w:eastAsia="Times New Roman"/>
          <w:color w:val="000000"/>
          <w:sz w:val="24"/>
          <w:szCs w:val="24"/>
        </w:rPr>
        <w:t xml:space="preserve">resample.rs wraps rubato's FftFixedIn resampler. The resampler demands fixed-size input blocks, so the wrapper buffers incoming f32 samples (converted to f64) and processes complete 1024-sample blocks, meaning small inputs may produce no output until enough has accumulated. A flush method pads the remainder with silence, resamples, and returns only the proportionally valid output samples so that session tails are not lost. The chunk size of 1024 frames is documented as a latency-versus-efficiency trade-off; with sub_chunks of 2 the configuration favours quality.</w:t>
      </w:r>
    </w:p>
    <w:p>
      <w:pPr>
        <w:pStyle w:val="Heading2"/>
      </w:pPr>
      <w:bookmarkStart w:id="100005" w:name="_Toc100005"/>
      <w:r>
        <w:t xml:space="preserve">2.4 streaming.rs — The PCM1 Framed Sink</w:t>
      </w:r>
      <w:bookmarkEnd w:id="100005"/>
    </w:p>
    <w:p>
      <w:pPr>
        <w:spacing w:after="120" w:line="312"/>
        <w:jc w:val="both"/>
      </w:pPr>
      <w:r>
        <w:rPr>
          <w:rFonts w:ascii="Times New Roman" w:eastAsia="Times New Roman"/>
          <w:color w:val="000000"/>
          <w:sz w:val="24"/>
          <w:szCs w:val="24"/>
        </w:rPr>
        <w:t xml:space="preserve">streaming.rs implements StreamingSink, the production PcmSink. It accumulates samples and emits a frame every 4000 samples (250 ms at 16 kHz): an 8-byte header (the ASCII magic “PCM1” followed by the payload size as a little-endian u32) plus the little-endian PCM16 payload, flushed after each frame. A finalize method emits any remaining samples as a short final frame and logs session totals. Diagnostic logs are emitted every 40 chunks (10 seconds of audio).</w:t>
      </w:r>
    </w:p>
    <w:p>
      <w:pPr>
        <w:pStyle w:val="Heading2"/>
      </w:pPr>
      <w:bookmarkStart w:id="100006" w:name="_Toc100006"/>
      <w:r>
        <w:t xml:space="preserve">2.5 wav_sink.rs — Debug Sink</w:t>
      </w:r>
      <w:bookmarkEnd w:id="100006"/>
    </w:p>
    <w:p>
      <w:pPr>
        <w:spacing w:after="120" w:line="312"/>
        <w:jc w:val="both"/>
      </w:pPr>
      <w:r>
        <w:rPr>
          <w:rFonts w:ascii="Times New Roman" w:eastAsia="Times New Roman"/>
          <w:color w:val="000000"/>
          <w:sz w:val="24"/>
          <w:szCs w:val="24"/>
        </w:rPr>
        <w:t xml:space="preserve">A PcmSink implementation that writes captured audio to a WAV file via the hound crate. It exists for Phase 1 validation and offline debugging and is not used by the production capture command.</w:t>
      </w:r>
    </w:p>
    <w:p>
      <w:pPr>
        <w:pStyle w:val="Heading1"/>
      </w:pPr>
      <w:bookmarkStart w:id="100007" w:name="_Toc100007"/>
      <w:r>
        <w:t xml:space="preserve">3. Node.js Sidecar (gateway)</w:t>
      </w:r>
      <w:bookmarkEnd w:id="100007"/>
    </w:p>
    <w:p>
      <w:pPr>
        <w:pStyle w:val="Heading2"/>
      </w:pPr>
      <w:bookmarkStart w:id="100008" w:name="_Toc100008"/>
      <w:r>
        <w:t xml:space="preserve">3.1 sidecar.js — Frame Parser, STT Streaming and Event Emission</w:t>
      </w:r>
      <w:bookmarkEnd w:id="100008"/>
    </w:p>
    <w:p>
      <w:pPr>
        <w:spacing w:after="120" w:line="312"/>
        <w:jc w:val="both"/>
      </w:pPr>
      <w:r>
        <w:rPr>
          <w:rFonts w:ascii="Times New Roman" w:eastAsia="Times New Roman"/>
          <w:color w:val="000000"/>
          <w:sz w:val="24"/>
          <w:szCs w:val="24"/>
        </w:rPr>
        <w:t xml:space="preserve">sidecar.js is the integration hub. On startup it loads environment configuration, verifies both API keys are present (exiting with a typed Error event if not), initialises the database layer, connects the AssemblyAI real-time transcriber and only then begins consuming stdin.</w:t>
      </w:r>
    </w:p>
    <w:p>
      <w:pPr>
        <w:spacing w:after="120" w:line="312"/>
        <w:jc w:val="both"/>
      </w:pPr>
      <w:r>
        <w:rPr>
          <w:rFonts w:ascii="Times New Roman" w:eastAsia="Times New Roman"/>
          <w:color w:val="000000"/>
          <w:sz w:val="24"/>
          <w:szCs w:val="24"/>
        </w:rPr>
        <w:t xml:space="preserve">The frame parser is defensive: it accumulates bytes in a buffer, verifies the PCM1 magic at the cursor, and on mismatch scans forward for the next magic sequence (retaining up to 3 bytes when none is found, to handle magic bytes split across reads). Payload lengths above 64 KB are treated as corruption and skipped. Complete frames are forwarded to the STT session only while it is connected. The transcriber is configured for 16 kHz pcm_s16le audio, a 1000 ms end-of-utterance silence threshold and a 5-second connect timeout.</w:t>
      </w:r>
    </w:p>
    <w:p>
      <w:pPr>
        <w:spacing w:after="120" w:line="312"/>
        <w:jc w:val="both"/>
      </w:pPr>
      <w:r>
        <w:rPr>
          <w:rFonts w:ascii="Times New Roman" w:eastAsia="Times New Roman"/>
          <w:color w:val="000000"/>
          <w:sz w:val="24"/>
          <w:szCs w:val="24"/>
        </w:rPr>
        <w:t xml:space="preserve">Transcript turns are classified as partial (rendered live in the UI) or final (persisted, buffered). Final utterances accumulate in a semantic buffer that flushes on three triggers: the buffer exceeds roughly fifteen words, five seconds have passed since the last flush, or a two-second quiet timer fires. Each flush hands the joined chunk to the agent pipeline and emits whatever artifacts result.</w:t>
      </w:r>
    </w:p>
    <w:p>
      <w:pPr>
        <w:pStyle w:val="Heading2"/>
      </w:pPr>
      <w:bookmarkStart w:id="100009" w:name="_Toc100009"/>
      <w:r>
        <w:t xml:space="preserve">3.2 agent.js — Four-Stage Gemini Pipeline</w:t>
      </w:r>
      <w:bookmarkEnd w:id="100009"/>
    </w:p>
    <w:p>
      <w:pPr>
        <w:spacing w:after="120" w:line="312"/>
        <w:jc w:val="both"/>
      </w:pPr>
      <w:r>
        <w:rPr>
          <w:rFonts w:ascii="Times New Roman" w:eastAsia="Times New Roman"/>
          <w:color w:val="000000"/>
          <w:sz w:val="24"/>
          <w:szCs w:val="24"/>
        </w:rPr>
        <w:t xml:space="preserve">agent.js maintains the meeting state (current topic, rolling one-to-two-sentence summary, accumulated technical-term glossary, API call counter) and exposes a single entry point, processChunk. The pipeline is gated and partially parallel by design:</w:t>
      </w:r>
    </w:p>
    <w:p>
      <w:pPr>
        <w:pStyle w:val="ListParagraph"/>
        <w:numPr>
          <w:ilvl w:val="0"/>
          <w:numId w:val="1"/>
        </w:numPr>
        <w:spacing w:after="60" w:line="312"/>
      </w:pPr>
      <w:r>
        <w:rPr>
          <w:rFonts w:ascii="Times New Roman" w:eastAsia="Times New Roman"/>
          <w:b/>
          <w:bCs/>
          <w:color w:val="000000"/>
          <w:sz w:val="24"/>
          <w:szCs w:val="24"/>
        </w:rPr>
        <w:t xml:space="preserve">Stage 1 — Context Manager (always): </w:t>
      </w:r>
      <w:r>
        <w:rPr>
          <w:rFonts w:ascii="Times New Roman" w:eastAsia="Times New Roman"/>
          <w:color w:val="000000"/>
          <w:sz w:val="24"/>
          <w:szCs w:val="24"/>
        </w:rPr>
        <w:t xml:space="preserve">requests strict JSON with the chunk's significance grade, updated topic, updated summary and any new technical terms with plain-language definitions; updates meeting state and increments the call counter.</w:t>
      </w:r>
    </w:p>
    <w:p>
      <w:pPr>
        <w:pStyle w:val="ListParagraph"/>
        <w:numPr>
          <w:ilvl w:val="0"/>
          <w:numId w:val="1"/>
        </w:numPr>
        <w:spacing w:after="60" w:line="312"/>
      </w:pPr>
      <w:r>
        <w:rPr>
          <w:rFonts w:ascii="Times New Roman" w:eastAsia="Times New Roman"/>
          <w:b/>
          <w:bCs/>
          <w:color w:val="000000"/>
          <w:sz w:val="24"/>
          <w:szCs w:val="24"/>
        </w:rPr>
        <w:t xml:space="preserve">Stage 2 — Explanation Agent (medium and high): </w:t>
      </w:r>
      <w:r>
        <w:rPr>
          <w:rFonts w:ascii="Times New Roman" w:eastAsia="Times New Roman"/>
          <w:color w:val="000000"/>
          <w:sz w:val="24"/>
          <w:szCs w:val="24"/>
        </w:rPr>
        <w:t xml:space="preserve">renders a one-to-three-sentence plain-language explanation, seeded with the current topic and known terms; free-text output, temperature zero.</w:t>
      </w:r>
    </w:p>
    <w:p>
      <w:pPr>
        <w:pStyle w:val="ListParagraph"/>
        <w:numPr>
          <w:ilvl w:val="0"/>
          <w:numId w:val="1"/>
        </w:numPr>
        <w:spacing w:after="60" w:line="312"/>
      </w:pPr>
      <w:r>
        <w:rPr>
          <w:rFonts w:ascii="Times New Roman" w:eastAsia="Times New Roman"/>
          <w:b/>
          <w:bCs/>
          <w:color w:val="000000"/>
          <w:sz w:val="24"/>
          <w:szCs w:val="24"/>
        </w:rPr>
        <w:t xml:space="preserve">Stage 3 — Meeting Analyst (high only): </w:t>
      </w:r>
      <w:r>
        <w:rPr>
          <w:rFonts w:ascii="Times New Roman" w:eastAsia="Times New Roman"/>
          <w:color w:val="000000"/>
          <w:sz w:val="24"/>
          <w:szCs w:val="24"/>
        </w:rPr>
        <w:t xml:space="preserve">extracts decisions with confidence scores and action items with assignee and deadline fields as strict JSON.</w:t>
      </w:r>
    </w:p>
    <w:p>
      <w:pPr>
        <w:pStyle w:val="ListParagraph"/>
        <w:numPr>
          <w:ilvl w:val="0"/>
          <w:numId w:val="1"/>
        </w:numPr>
        <w:spacing w:after="60" w:line="312"/>
      </w:pPr>
      <w:r>
        <w:rPr>
          <w:rFonts w:ascii="Times New Roman" w:eastAsia="Times New Roman"/>
          <w:b/>
          <w:bCs/>
          <w:color w:val="000000"/>
          <w:sz w:val="24"/>
          <w:szCs w:val="24"/>
        </w:rPr>
        <w:t xml:space="preserve">Stage 4 — Response Agent (high only): </w:t>
      </w:r>
      <w:r>
        <w:rPr>
          <w:rFonts w:ascii="Times New Roman" w:eastAsia="Times New Roman"/>
          <w:color w:val="000000"/>
          <w:sz w:val="24"/>
          <w:szCs w:val="24"/>
        </w:rPr>
        <w:t xml:space="preserve">suggests one-to-two conversational sentences the user could say; returns an empty string when no response is warranted.</w:t>
      </w:r>
    </w:p>
    <w:p>
      <w:pPr>
        <w:spacing w:after="120" w:line="312"/>
        <w:jc w:val="both"/>
      </w:pPr>
      <w:r>
        <w:rPr>
          <w:rFonts w:ascii="Times New Roman" w:eastAsia="Times New Roman"/>
          <w:color w:val="000000"/>
          <w:sz w:val="24"/>
          <w:szCs w:val="24"/>
        </w:rPr>
        <w:t xml:space="preserve">Stages 2–4 run concurrently via Promise.all once gating is decided. Every stage is wrapped in its own catch handler so a single failing call degrades that output rather than the whole pipeline. The circuit breaker short-circuits processChunk once the call counter exceeds 200, returning a sentinel significance value that the sidecar translates into a CircuitBreaker event.</w:t>
      </w:r>
    </w:p>
    <w:p>
      <w:pPr>
        <w:pStyle w:val="Heading2"/>
      </w:pPr>
      <w:bookmarkStart w:id="100010" w:name="_Toc100010"/>
      <w:r>
        <w:t xml:space="preserve">3.3 db.js — Batched Persistence with Graceful Degradation</w:t>
      </w:r>
      <w:bookmarkEnd w:id="100010"/>
    </w:p>
    <w:p>
      <w:pPr>
        <w:spacing w:after="120" w:line="312"/>
        <w:jc w:val="both"/>
      </w:pPr>
      <w:r>
        <w:rPr>
          <w:rFonts w:ascii="Times New Roman" w:eastAsia="Times New Roman"/>
          <w:color w:val="000000"/>
          <w:sz w:val="24"/>
          <w:szCs w:val="24"/>
        </w:rPr>
        <w:t xml:space="preserve">db.js creates the four-table schema on first use when a connection string is configured, opens a meeting record per session, and buffers inserts in three arrays flushed by a five-second interval timer using multi-row parameterised inserts. saveTranscript, saveDecision and saveActionItem are fire-and-forget enqueue operations, so persistence latency never touches the real-time path. endMeeting clears the timer, flushes remaining batches, stores a summary if provided, and closes the pool. Any initialisation failure nulls the pool and the module silently degrades to in-memory operation.</w:t>
      </w:r>
    </w:p>
    <w:p>
      <w:pPr>
        <w:pStyle w:val="Heading1"/>
      </w:pPr>
      <w:bookmarkStart w:id="100011" w:name="_Toc100011"/>
      <w:r>
        <w:t xml:space="preserve">4. Frontend (src)</w:t>
      </w:r>
      <w:bookmarkEnd w:id="100011"/>
    </w:p>
    <w:p>
      <w:pPr>
        <w:pStyle w:val="Heading2"/>
      </w:pPr>
      <w:bookmarkStart w:id="100012" w:name="_Toc100012"/>
      <w:r>
        <w:t xml:space="preserve">4.1 main.ts — Event-Driven Rendering</w:t>
      </w:r>
      <w:bookmarkEnd w:id="100012"/>
    </w:p>
    <w:p>
      <w:pPr>
        <w:spacing w:after="120" w:line="312"/>
        <w:jc w:val="both"/>
      </w:pPr>
      <w:r>
        <w:rPr>
          <w:rFonts w:ascii="Times New Roman" w:eastAsia="Times New Roman"/>
          <w:color w:val="000000"/>
          <w:sz w:val="24"/>
          <w:szCs w:val="24"/>
        </w:rPr>
        <w:t xml:space="preserve">main.ts is a framework-free event hub. Two button handlers invoke the Tauri commands and manage control enablement and status visuals. Nine event listeners render backend events into the DOM: partial and final transcripts (with speaker colour classes), explanation cards, significance badge updates (with a 200 ms scale flash), decisions, action items, suggested replies, circuit-breaker notifications and error resets. All list panes auto-scroll to the bottom on update, and placeholder panels are hidden on first content. Rendering uses innerHTML with backend-provided strings; the Security Assessment (AMI-SEC-006) records the XSS surface this creates.</w:t>
      </w:r>
    </w:p>
    <w:p>
      <w:pPr>
        <w:pStyle w:val="Heading2"/>
      </w:pPr>
      <w:bookmarkStart w:id="100013" w:name="_Toc100013"/>
      <w:r>
        <w:t xml:space="preserve">4.2 styles.css — Visual System</w:t>
      </w:r>
      <w:bookmarkEnd w:id="100013"/>
    </w:p>
    <w:p>
      <w:pPr>
        <w:spacing w:after="120" w:line="312"/>
        <w:jc w:val="both"/>
      </w:pPr>
      <w:r>
        <w:rPr>
          <w:rFonts w:ascii="Times New Roman" w:eastAsia="Times New Roman"/>
          <w:color w:val="000000"/>
          <w:sz w:val="24"/>
          <w:szCs w:val="24"/>
        </w:rPr>
        <w:t xml:space="preserve">styles.css implements the dark glassmorphism theme: CSS custom properties for colour and typography, translucent panels with backdrop blur, a keyframe-driven microphone pulse animation, colour classes for the four significance grades, and a responsive three-pane grid. No framework or utility library is used.</w:t>
      </w:r>
    </w:p>
    <w:p>
      <w:pPr>
        <w:pStyle w:val="Heading2"/>
      </w:pPr>
      <w:bookmarkStart w:id="100014" w:name="_Toc100014"/>
      <w:r>
        <w:t xml:space="preserve">4.3 index.html — Shell</w:t>
      </w:r>
      <w:bookmarkEnd w:id="100014"/>
    </w:p>
    <w:p>
      <w:pPr>
        <w:spacing w:after="120" w:line="312"/>
        <w:jc w:val="both"/>
      </w:pPr>
      <w:r>
        <w:rPr>
          <w:rFonts w:ascii="Times New Roman" w:eastAsia="Times New Roman"/>
          <w:color w:val="000000"/>
          <w:sz w:val="24"/>
          <w:szCs w:val="24"/>
        </w:rPr>
        <w:t xml:space="preserve">The single HTML file defines the top bar and three panes with stable element IDs consumed by main.ts. Vite serves it in development on port 1420 and bundles the built assets for production packaging.</w:t>
      </w:r>
    </w:p>
    <w:p>
      <w:pPr>
        <w:pStyle w:val="Heading1"/>
      </w:pPr>
      <w:bookmarkStart w:id="100015" w:name="_Toc100015"/>
      <w:r>
        <w:t xml:space="preserve">5. Key Algorithms and Parameters</w:t>
      </w:r>
      <w:bookmarkEnd w:id="100015"/>
    </w:p>
    <w:p>
      <w:pPr>
        <w:keepNext/>
        <w:spacing w:after="80" w:before="200" w:line="312"/>
      </w:pPr>
      <w:r>
        <w:rPr>
          <w:rFonts w:ascii="Times New Roman" w:eastAsia="Times New Roman"/>
          <w:b/>
          <w:bCs/>
          <w:color w:val="404040"/>
          <w:sz w:val="21"/>
          <w:szCs w:val="21"/>
        </w:rPr>
        <w:t xml:space="preserve">Table 14 — Design Parameters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Parameter</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Value</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Location</w:t>
            </w:r>
          </w:p>
        </w:tc>
        <w:tc>
          <w:tcPr>
            <w:tcW w:type="pct" w:w="3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Notes</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Audio chunk size</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4000 samples (250 ms @ 16 kHz)</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streaming.rs</w:t>
            </w:r>
          </w:p>
        </w:tc>
        <w:tc>
          <w:tcPr>
            <w:tcW w:type="pct" w:w="36%"/>
            <w:tcMar>
              <w:top w:type="dxa" w:w="60"/>
              <w:left w:type="dxa" w:w="120"/>
              <w:bottom w:type="dxa" w:w="60"/>
              <w:right w:type="dxa" w:w="120"/>
            </w:tcMar>
          </w:tcPr>
          <w:p>
            <w:pPr>
              <w:spacing w:after="0" w:line="312"/>
            </w:pPr>
            <w:r>
              <w:rPr>
                <w:rFonts w:ascii="Times New Roman" w:eastAsia="Times New Roman"/>
                <w:color w:val="000000"/>
                <w:sz w:val="21"/>
                <w:szCs w:val="21"/>
              </w:rPr>
              <w:t xml:space="preserve">Balances STT latency against framing overhead</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Resampler input block</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1024 frames, 2 sub-chunks</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resample.rs</w:t>
            </w:r>
          </w:p>
        </w:tc>
        <w:tc>
          <w:tcPr>
            <w:tcW w:type="pct" w:w="3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FFT sinc interpolation; latency/efficiency trade-off</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End-of-utterance silence</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1000 ms</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sidecar.js</w:t>
            </w:r>
          </w:p>
        </w:tc>
        <w:tc>
          <w:tcPr>
            <w:tcW w:type="pct" w:w="36%"/>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turn detection threshold</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Semantic flush — size</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&gt; 15 words</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sidecar.js</w:t>
            </w:r>
          </w:p>
        </w:tc>
        <w:tc>
          <w:tcPr>
            <w:tcW w:type="pct" w:w="3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Caps chunk size for LLM analysis</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Semantic flush — time</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5 s max, 2 s quiet timer</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sidecar.js</w:t>
            </w:r>
          </w:p>
        </w:tc>
        <w:tc>
          <w:tcPr>
            <w:tcW w:type="pct" w:w="36%"/>
            <w:tcMar>
              <w:top w:type="dxa" w:w="60"/>
              <w:left w:type="dxa" w:w="120"/>
              <w:bottom w:type="dxa" w:w="60"/>
              <w:right w:type="dxa" w:w="120"/>
            </w:tcMar>
          </w:tcPr>
          <w:p>
            <w:pPr>
              <w:spacing w:after="0" w:line="312"/>
            </w:pPr>
            <w:r>
              <w:rPr>
                <w:rFonts w:ascii="Times New Roman" w:eastAsia="Times New Roman"/>
                <w:color w:val="000000"/>
                <w:sz w:val="21"/>
                <w:szCs w:val="21"/>
              </w:rPr>
              <w:t xml:space="preserve">Keeps analysis fresh during slow speech</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 breaker</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200 API calls per meeting</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agent.js</w:t>
            </w:r>
          </w:p>
        </w:tc>
        <w:tc>
          <w:tcPr>
            <w:tcW w:type="pct" w:w="3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Hard cost cap; checked before each chunk</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DB batch interval</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5 s</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db.js</w:t>
            </w:r>
          </w:p>
        </w:tc>
        <w:tc>
          <w:tcPr>
            <w:tcW w:type="pct" w:w="36%"/>
            <w:tcMar>
              <w:top w:type="dxa" w:w="60"/>
              <w:left w:type="dxa" w:w="120"/>
              <w:bottom w:type="dxa" w:w="60"/>
              <w:right w:type="dxa" w:w="120"/>
            </w:tcMar>
          </w:tcPr>
          <w:p>
            <w:pPr>
              <w:spacing w:after="0" w:line="312"/>
            </w:pPr>
            <w:r>
              <w:rPr>
                <w:rFonts w:ascii="Times New Roman" w:eastAsia="Times New Roman"/>
                <w:color w:val="000000"/>
                <w:sz w:val="21"/>
                <w:szCs w:val="21"/>
              </w:rPr>
              <w:t xml:space="preserve">Batched multi-row inserts</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Mixer cadence</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 ms poll</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audio.rs</w:t>
            </w:r>
          </w:p>
        </w:tc>
        <w:tc>
          <w:tcPr>
            <w:tcW w:type="pct" w:w="3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Drains both capture channels and mixes with clamping</w:t>
            </w:r>
          </w:p>
        </w:tc>
      </w:tr>
    </w:tbl>
    <w:p>
      <w:pPr>
        <w:pStyle w:val="Heading1"/>
      </w:pPr>
      <w:bookmarkStart w:id="100016" w:name="_Toc100016"/>
      <w:r>
        <w:t xml:space="preserve">6. Threading and Concurrency Model</w:t>
      </w:r>
      <w:bookmarkEnd w:id="100016"/>
    </w:p>
    <w:p>
      <w:pPr>
        <w:spacing w:after="120" w:line="312"/>
        <w:jc w:val="both"/>
      </w:pPr>
      <w:r>
        <w:rPr>
          <w:rFonts w:ascii="Times New Roman" w:eastAsia="Times New Roman"/>
          <w:color w:val="000000"/>
          <w:sz w:val="24"/>
          <w:szCs w:val="24"/>
        </w:rPr>
        <w:t xml:space="preserve">Within a capture session the Rust core runs: the cpal callback threads for loopback and microphone (owned by the audio host), one mixer thread, and one sidecar-stdout reader thread. The mixer holds the sink behind an Arc&lt;Mutex&gt;; the resampler is similarly shared per stream. The Node sidecar is single-threaded event-loop code; its concurrency comes from awaited Promise.all across LLM stages. All cross-boundary communication is via OS pipes, so there is no shared memory between runtimes — the isolation boundary is the process itself.</w:t>
      </w:r>
    </w:p>
    <w:p>
      <w:pPr>
        <w:pStyle w:val="Heading1"/>
      </w:pPr>
      <w:bookmarkStart w:id="100017" w:name="_Toc100017"/>
      <w:r>
        <w:t xml:space="preserve">7. Extensibility Notes</w:t>
      </w:r>
      <w:bookmarkEnd w:id="100017"/>
    </w:p>
    <w:p>
      <w:pPr>
        <w:pStyle w:val="ListParagraph"/>
        <w:numPr>
          <w:ilvl w:val="0"/>
          <w:numId w:val="1"/>
        </w:numPr>
        <w:spacing w:after="60" w:line="312"/>
      </w:pPr>
      <w:r>
        <w:rPr>
          <w:rFonts w:ascii="Times New Roman" w:eastAsia="Times New Roman"/>
          <w:b/>
          <w:bCs/>
          <w:color w:val="000000"/>
          <w:sz w:val="24"/>
          <w:szCs w:val="24"/>
        </w:rPr>
        <w:t xml:space="preserve">New analysis stages </w:t>
      </w:r>
      <w:r>
        <w:rPr>
          <w:rFonts w:ascii="Times New Roman" w:eastAsia="Times New Roman"/>
          <w:color w:val="000000"/>
          <w:sz w:val="24"/>
          <w:szCs w:val="24"/>
        </w:rPr>
        <w:t xml:space="preserve">can be added to agent.js following the existing gated-promise pattern; the sidecar relay and lib.rs event mapping need one new event type each.</w:t>
      </w:r>
    </w:p>
    <w:p>
      <w:pPr>
        <w:pStyle w:val="ListParagraph"/>
        <w:numPr>
          <w:ilvl w:val="0"/>
          <w:numId w:val="1"/>
        </w:numPr>
        <w:spacing w:after="60" w:line="312"/>
      </w:pPr>
      <w:r>
        <w:rPr>
          <w:rFonts w:ascii="Times New Roman" w:eastAsia="Times New Roman"/>
          <w:b/>
          <w:bCs/>
          <w:color w:val="000000"/>
          <w:sz w:val="24"/>
          <w:szCs w:val="24"/>
        </w:rPr>
        <w:t xml:space="preserve">Alternative sinks </w:t>
      </w:r>
      <w:r>
        <w:rPr>
          <w:rFonts w:ascii="Times New Roman" w:eastAsia="Times New Roman"/>
          <w:color w:val="000000"/>
          <w:sz w:val="24"/>
          <w:szCs w:val="24"/>
        </w:rPr>
        <w:t xml:space="preserve">can be written against the PcmSink trait (for example an Opus-compressed sink) without touching capture code.</w:t>
      </w:r>
    </w:p>
    <w:p>
      <w:pPr>
        <w:pStyle w:val="ListParagraph"/>
        <w:numPr>
          <w:ilvl w:val="0"/>
          <w:numId w:val="1"/>
        </w:numPr>
        <w:spacing w:after="60" w:line="312"/>
      </w:pPr>
      <w:r>
        <w:rPr>
          <w:rFonts w:ascii="Times New Roman" w:eastAsia="Times New Roman"/>
          <w:b/>
          <w:bCs/>
          <w:color w:val="000000"/>
          <w:sz w:val="24"/>
          <w:szCs w:val="24"/>
        </w:rPr>
        <w:t xml:space="preserve">Alternative STT/LLM vendors </w:t>
      </w:r>
      <w:r>
        <w:rPr>
          <w:rFonts w:ascii="Times New Roman" w:eastAsia="Times New Roman"/>
          <w:color w:val="000000"/>
          <w:sz w:val="24"/>
          <w:szCs w:val="24"/>
        </w:rPr>
        <w:t xml:space="preserve">would require replacing sidecar.js and agent.js respectively; the PCM1 input contract and JSON event output contract are vendor-neutral (see AMI-DAI-005).</w:t>
      </w:r>
    </w:p>
    <w:p>
      <w:pPr>
        <w:pStyle w:val="ListParagraph"/>
        <w:numPr>
          <w:ilvl w:val="0"/>
          <w:numId w:val="1"/>
        </w:numPr>
        <w:spacing w:after="60" w:line="312"/>
      </w:pPr>
      <w:r>
        <w:rPr>
          <w:rFonts w:ascii="Times New Roman" w:eastAsia="Times New Roman"/>
          <w:b/>
          <w:bCs/>
          <w:color w:val="000000"/>
          <w:sz w:val="24"/>
          <w:szCs w:val="24"/>
        </w:rPr>
        <w:t xml:space="preserve">UI additions </w:t>
      </w:r>
      <w:r>
        <w:rPr>
          <w:rFonts w:ascii="Times New Roman" w:eastAsia="Times New Roman"/>
          <w:color w:val="000000"/>
          <w:sz w:val="24"/>
          <w:szCs w:val="24"/>
        </w:rPr>
        <w:t xml:space="preserve">follow the existing listener-card pattern in main.ts; styles use the established CSS variables.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creator>Technology Advisory Practice</dc:creator>
  <cp:lastModifiedBy>Un-named</cp:lastModifiedBy>
  <cp:revision>1</cp:revision>
  <dcterms:created xsi:type="dcterms:W3CDTF">2026-08-18T04:50:54.193Z</dcterms:created>
  <dcterms:modified xsi:type="dcterms:W3CDTF">2026-08-18T04:50:54.193Z</dcterms:modified>
</cp:coreProperties>
</file>

<file path=docProps/custom.xml><?xml version="1.0" encoding="utf-8"?>
<Properties xmlns="http://schemas.openxmlformats.org/officeDocument/2006/custom-properties" xmlns:vt="http://schemas.openxmlformats.org/officeDocument/2006/docPropsVTypes"/>
</file>