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3F1ED" w:val="clear"/>
            <w:vAlign w:val="top"/>
          </w:tcPr>
          <w:p>
            <w:pPr>
              <w:spacing w:before="3737"/>
            </w:pPr>
          </w:p>
          <w:p>
            <w:pPr>
              <w:pBdr>
                <w:bottom w:val="single" w:color="D6C096" w:sz="6" w:space="8"/>
              </w:pBdr>
              <w:spacing w:after="500"/>
              <w:ind w:left="1200" w:right="800"/>
            </w:pPr>
            <w:r>
              <w:rPr>
                <w:rFonts w:ascii="Times New Roman" w:eastAsia="Times New Roman"/>
                <w:color w:val="9A8455"/>
                <w:spacing w:val="40"/>
                <w:sz w:val="18"/>
                <w:szCs w:val="18"/>
              </w:rPr>
              <w:t xml:space="preserve">T  E  C  H  N  O  L  O  G  Y     A  D  V  I  S  O  R  Y</w:t>
            </w:r>
          </w:p>
          <w:p>
            <w:pPr>
              <w:spacing w:after="100" w:line="920" w:lineRule="atLeast"/>
              <w:ind w:left="1200"/>
            </w:pPr>
            <w:r>
              <w:rPr>
                <w:rFonts w:ascii="Times New Roman" w:eastAsia="Times New Roman"/>
                <w:b/>
                <w:bCs/>
                <w:color w:val="000000"/>
                <w:sz w:val="80"/>
                <w:szCs w:val="80"/>
              </w:rPr>
              <w:t xml:space="preserve">Data Architecture and</w:t>
            </w:r>
          </w:p>
          <w:p>
            <w:pPr>
              <w:spacing w:after="100" w:line="920" w:lineRule="atLeast"/>
              <w:ind w:left="1200"/>
            </w:pPr>
            <w:r>
              <w:rPr>
                <w:rFonts w:ascii="Times New Roman" w:eastAsia="Times New Roman"/>
                <w:b/>
                <w:bCs/>
                <w:color w:val="000000"/>
                <w:sz w:val="80"/>
                <w:szCs w:val="80"/>
              </w:rPr>
              <w:t xml:space="preserve">Interface</w:t>
            </w:r>
          </w:p>
          <w:p>
            <w:pPr>
              <w:spacing w:after="300" w:line="920" w:lineRule="atLeast"/>
              <w:ind w:left="1200"/>
            </w:pPr>
            <w:r>
              <w:rPr>
                <w:rFonts w:ascii="Times New Roman" w:eastAsia="Times New Roman"/>
                <w:b/>
                <w:bCs/>
                <w:color w:val="000000"/>
                <w:sz w:val="80"/>
                <w:szCs w:val="80"/>
              </w:rPr>
              <w:t xml:space="preserve">Specification</w:t>
            </w:r>
          </w:p>
          <w:p>
            <w:pPr>
              <w:spacing w:after="800"/>
              <w:ind w:left="1200"/>
            </w:pPr>
            <w:r>
              <w:rPr>
                <w:rFonts w:ascii="Times New Roman" w:eastAsia="Times New Roman"/>
                <w:color w:val="606060"/>
                <w:sz w:val="24"/>
                <w:szCs w:val="24"/>
              </w:rPr>
              <w:t xml:space="preserve">AI Meeting Interpreter — Protocols, Events and Schema</w:t>
            </w:r>
          </w:p>
          <w:p>
            <w:pPr>
              <w:pBdr>
                <w:left w:val="single" w:color="D6C096" w:sz="8" w:space="12"/>
              </w:pBdr>
              <w:spacing w:after="80"/>
              <w:ind w:left="1400"/>
            </w:pPr>
            <w:r>
              <w:rPr>
                <w:rFonts w:ascii="Times New Roman" w:eastAsia="Times New Roman"/>
                <w:color w:val="707070"/>
                <w:sz w:val="24"/>
                <w:szCs w:val="24"/>
              </w:rPr>
              <w:t xml:space="preserve">Document AMI-DAI-005  ·  Version 1.0</w:t>
            </w:r>
          </w:p>
          <w:p>
            <w:pPr>
              <w:pBdr>
                <w:left w:val="single" w:color="D6C096" w:sz="8" w:space="12"/>
              </w:pBdr>
              <w:spacing w:after="80"/>
              <w:ind w:left="1400"/>
            </w:pPr>
            <w:r>
              <w:rPr>
                <w:rFonts w:ascii="Times New Roman" w:eastAsia="Times New Roman"/>
                <w:color w:val="707070"/>
                <w:sz w:val="24"/>
                <w:szCs w:val="24"/>
              </w:rPr>
              <w:t xml:space="preserve">Date of issue: 18 August 2026</w:t>
            </w:r>
          </w:p>
          <w:p>
            <w:pPr>
              <w:pBdr>
                <w:left w:val="single" w:color="D6C096" w:sz="8" w:space="12"/>
              </w:pBdr>
              <w:spacing w:after="80"/>
              <w:ind w:left="1400"/>
            </w:pPr>
            <w:r>
              <w:rPr>
                <w:rFonts w:ascii="Times New Roman" w:eastAsia="Times New Roman"/>
                <w:color w:val="707070"/>
                <w:sz w:val="24"/>
                <w:szCs w:val="24"/>
              </w:rPr>
              <w:t xml:space="preserve">Classification: Client Confidential</w:t>
            </w:r>
          </w:p>
          <w:p>
            <w:pPr>
              <w:spacing w:before="3737"/>
            </w:pPr>
          </w:p>
          <w:p>
            <w:pPr>
              <w:pBdr>
                <w:top w:val="single" w:color="D6C096" w:sz="2" w:space="8"/>
              </w:pBdr>
              <w:spacing w:before="200"/>
              <w:ind w:left="1200" w:right="800"/>
            </w:pPr>
            <w:r>
              <w:rPr>
                <w:rFonts w:ascii="Times New Roman" w:eastAsia="Times New Roman"/>
                <w:color w:val="A0A0A0"/>
                <w:sz w:val="16"/>
                <w:szCs w:val="16"/>
              </w:rPr>
              <w:t xml:space="preserve">AI Meeting Interpreter</w:t>
            </w:r>
            <w:r>
              <w:t xml:space="preserve">                                                        </w:t>
            </w:r>
            <w:r>
              <w:rPr>
                <w:rFonts w:ascii="Times New Roman" w:eastAsia="Times New Roman"/>
                <w:color w:val="A0A0A0"/>
                <w:sz w:val="16"/>
                <w:szCs w:val="16"/>
              </w:rPr>
              <w:t xml:space="preserve">18 August 2026</w:t>
            </w:r>
          </w:p>
        </w:tc>
      </w:tr>
    </w:tbl>
    <w:p>
      <w:pPr>
        <w:sectPr>
          <w:pgSz w:w="11906" w:h="16838" w:orient="portrait"/>
          <w:pgMar w:top="0" w:right="0" w:bottom="0" w:left="0" w:header="708" w:footer="708" w:gutter="0"/>
          <w:docGrid w:linePitch="360"/>
        </w:sectPr>
      </w:pPr>
    </w:p>
    <w:p>
      <w:pPr>
        <w:spacing w:after="240" w:before="120" w:line="312"/>
        <w:jc w:val="left"/>
      </w:pPr>
      <w:r>
        <w:rPr>
          <w:rFonts w:ascii="Times New Roman" w:eastAsia="Times New Roman"/>
          <w:b/>
          <w:bCs/>
          <w:color w:val="000000"/>
          <w:sz w:val="32"/>
          <w:szCs w:val="32"/>
        </w:rPr>
        <w:t xml:space="preserve">Document Control</w:t>
      </w:r>
    </w:p>
    <w:p>
      <w:pPr>
        <w:spacing w:after="120" w:line="312"/>
      </w:pPr>
      <w:r>
        <w:rPr>
          <w:rFonts w:ascii="Times New Roman" w:eastAsia="Times New Roman"/>
          <w:color w:val="404040"/>
          <w:sz w:val="22"/>
          <w:szCs w:val="22"/>
        </w:rPr>
        <w:t xml:space="preserve">The following table records the ownership, status and classification of this document.</w:t>
      </w:r>
    </w:p>
    <w:tbl>
      <w:tblPr>
        <w:tblW w:type="pct" w:w="100%"/>
        <w:tblBorders>
          <w:top w:val="single" w:color="000000" w:sz="2"/>
          <w:left w:val="none"/>
          <w:bottom w:val="single" w:color="000000" w:sz="2"/>
          <w:right w:val="none"/>
          <w:insideH w:val="single" w:color="DDD8CC" w:sz="1"/>
          <w:insideV w:val="none"/>
        </w:tblBorders>
      </w:tblPr>
      <w:tblGrid>
        <w:gridCol w:w="100"/>
        <w:gridCol w:w="100"/>
      </w:tblGrid>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Title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Data Architecture &amp; Interface Specification</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Identifier</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AMI-DAI-005</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Version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Status</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Issued</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Date of Issue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Prepared By</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 Practice</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Client / Engagement</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AI Meeting Interpreter — Independent Technology Review</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Classification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Confidential</w:t>
            </w:r>
          </w:p>
        </w:tc>
      </w:tr>
    </w:tbl>
    <w:p>
      <w:pPr>
        <w:spacing w:after="160" w:before="160"/>
      </w:pPr>
    </w:p>
    <w:p>
      <w:pPr>
        <w:spacing w:after="80" w:before="120" w:line="312"/>
      </w:pPr>
      <w:r>
        <w:rPr>
          <w:rFonts w:ascii="Times New Roman" w:eastAsia="Times New Roman"/>
          <w:b/>
          <w:bCs/>
          <w:color w:val="000000"/>
          <w:sz w:val="24"/>
          <w:szCs w:val="24"/>
        </w:rPr>
        <w:t xml:space="preserve">Version History</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Version</w:t>
            </w:r>
          </w:p>
        </w:tc>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Author</w:t>
            </w:r>
          </w:p>
        </w:tc>
        <w:tc>
          <w:tcPr>
            <w:tcW w:type="pct" w:w="4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Description of Change</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0.1</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tcMar>
              <w:top w:type="dxa" w:w="60"/>
              <w:left w:type="dxa" w:w="120"/>
              <w:bottom w:type="dxa" w:w="60"/>
              <w:right w:type="dxa" w:w="120"/>
            </w:tcMar>
          </w:tcPr>
          <w:p>
            <w:pPr>
              <w:spacing w:after="0" w:line="312"/>
            </w:pPr>
            <w:r>
              <w:rPr>
                <w:rFonts w:ascii="Times New Roman" w:eastAsia="Times New Roman"/>
                <w:color w:val="000000"/>
                <w:sz w:val="21"/>
                <w:szCs w:val="21"/>
              </w:rPr>
              <w:t xml:space="preserve">Initial working draft produced from repository inspection.</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First issued version for client review.</w:t>
            </w:r>
          </w:p>
        </w:tc>
      </w:tr>
    </w:tbl>
    <w:p>
      <w:pPr>
        <w:spacing w:after="160" w:before="160"/>
      </w:pPr>
    </w:p>
    <w:p>
      <w:pPr>
        <w:spacing w:after="80" w:before="120" w:line="312"/>
      </w:pPr>
      <w:r>
        <w:rPr>
          <w:rFonts w:ascii="Times New Roman" w:eastAsia="Times New Roman"/>
          <w:b/>
          <w:bCs/>
          <w:color w:val="000000"/>
          <w:sz w:val="24"/>
          <w:szCs w:val="24"/>
        </w:rPr>
        <w:t xml:space="preserve">Distribution &amp; Approval</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2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Name</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Role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Action</w:t>
            </w:r>
          </w:p>
        </w:tc>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Sponsor】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Product Owner</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Approve</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【Engineering Lead】</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Technical Authority</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【Security Officer】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Information Security</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bl>
    <w:p>
      <w:pPr>
        <w:pageBreakBefore/>
        <w:spacing w:after="360" w:before="240" w:line="312"/>
        <w:jc w:val="center"/>
      </w:pPr>
      <w:r>
        <w:rPr>
          <w:rFonts w:ascii="Times New Roman" w:eastAsia="Times New Roman"/>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PCM1 Binary Framing Protocol</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Purpose and Direction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Frame Layout</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Transmission Rules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Receiver Validation Rules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JSON Event Contracts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3.1 Conventions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3.2 Lifecycle Events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3.3 Transcript Events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3.4 Analysis Events</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3.5 Event Examples</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4. Relational Schema (PostgreSQL)</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4.1 Overview</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4.2 Table Definitions</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4.3 Entity Relationships</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4.4 Write Pattern</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5. Configuration Specification</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6. Interface Compatibility Notes</w:t>
            </w:r>
            <w:r>
              <w:tab/>
            </w:r>
            <w:r>
              <w:fldChar w:fldCharType="begin"/>
            </w:r>
            <w:r>
              <w:instrText xml:space="preserve"> PAGEREF _Toc100018 \h </w:instrText>
            </w:r>
            <w:r>
              <w:fldChar w:fldCharType="separate"/>
            </w:r>
            <w:r>
              <w:t>7</w:t>
            </w:r>
            <w:r>
              <w:fldChar w:fldCharType="end"/>
            </w:r>
          </w:hyperlink>
        </w:p>
        <w:p>
          <w:r>
            <w:fldChar w:fldCharType="end"/>
          </w:r>
        </w:p>
      </w:sdtContent>
    </w:sdt>
    <w:p>
      <w:pPr>
        <w:spacing w:before="200" w:line="312"/>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pPr>
      <w:bookmarkStart w:id="100000" w:name="_Toc100000"/>
      <w:r>
        <w:t xml:space="preserve">1. Introduction</w:t>
      </w:r>
      <w:bookmarkEnd w:id="100000"/>
    </w:p>
    <w:p>
      <w:pPr>
        <w:spacing w:after="120" w:line="312"/>
        <w:jc w:val="both"/>
      </w:pPr>
      <w:r>
        <w:rPr>
          <w:rFonts w:ascii="Times New Roman" w:eastAsia="Times New Roman"/>
          <w:color w:val="000000"/>
          <w:sz w:val="24"/>
          <w:szCs w:val="24"/>
        </w:rPr>
        <w:t xml:space="preserve">This document specifies the data architecture and the interface contracts of the AI Meeting Interpreter: the PCM1 binary framing protocol, the JSON event contracts between runtimes, the relational schema, and environment configuration. It is the normative reference for anyone building, testing or replacing an integration boundary.</w:t>
      </w:r>
    </w:p>
    <w:p>
      <w:pPr>
        <w:pStyle w:val="Heading1"/>
      </w:pPr>
      <w:bookmarkStart w:id="100001" w:name="_Toc100001"/>
      <w:r>
        <w:t xml:space="preserve">2. PCM1 Binary Framing Protocol</w:t>
      </w:r>
      <w:bookmarkEnd w:id="100001"/>
    </w:p>
    <w:p>
      <w:pPr>
        <w:pStyle w:val="Heading2"/>
      </w:pPr>
      <w:bookmarkStart w:id="100002" w:name="_Toc100002"/>
      <w:r>
        <w:t xml:space="preserve">2.1 Purpose and Direction</w:t>
      </w:r>
      <w:bookmarkEnd w:id="100002"/>
    </w:p>
    <w:p>
      <w:pPr>
        <w:spacing w:after="120" w:line="312"/>
        <w:jc w:val="both"/>
      </w:pPr>
      <w:r>
        <w:rPr>
          <w:rFonts w:ascii="Times New Roman" w:eastAsia="Times New Roman"/>
          <w:color w:val="000000"/>
          <w:sz w:val="24"/>
          <w:szCs w:val="24"/>
        </w:rPr>
        <w:t xml:space="preserve">PCM1 carries resampled audio from the Rust core to the Node.js sidecar over the sidecar's standard input. It is a length-prefixed framing protocol designed for a reliable ordered pipe, with a magic byte sequence to permit resynchronisation after corruption.</w:t>
      </w:r>
    </w:p>
    <w:p>
      <w:pPr>
        <w:pStyle w:val="Heading2"/>
      </w:pPr>
      <w:bookmarkStart w:id="100003" w:name="_Toc100003"/>
      <w:r>
        <w:t xml:space="preserve">2.2 Frame Layout</w:t>
      </w:r>
      <w:bookmarkEnd w:id="100003"/>
    </w:p>
    <w:p>
      <w:pPr>
        <w:keepNext/>
        <w:spacing w:after="80" w:before="200" w:line="312"/>
      </w:pPr>
      <w:r>
        <w:rPr>
          <w:rFonts w:ascii="Times New Roman" w:eastAsia="Times New Roman"/>
          <w:b/>
          <w:bCs/>
          <w:color w:val="404040"/>
          <w:sz w:val="21"/>
          <w:szCs w:val="21"/>
        </w:rPr>
        <w:t xml:space="preserve">Table 15 — PCM1 Frame Layout</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gridCol w:w="100"/>
      </w:tblGrid>
      <w:tr>
        <w:trPr>
          <w:cantSplit/>
          <w:tblHeader/>
        </w:trPr>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Field</w:t>
            </w:r>
          </w:p>
        </w:tc>
        <w:tc>
          <w:tcPr>
            <w:tcW w:type="pct" w:w="1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Offset</w:t>
            </w:r>
          </w:p>
        </w:tc>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Size</w:t>
            </w:r>
          </w:p>
        </w:tc>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Encoding</w:t>
            </w:r>
          </w:p>
        </w:tc>
        <w:tc>
          <w:tcPr>
            <w:tcW w:type="pct" w:w="4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Description</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magic</w:t>
            </w:r>
          </w:p>
        </w:tc>
        <w:tc>
          <w:tcPr>
            <w:tcW w:type="pct" w:w="10%"/>
            <w:tcMar>
              <w:top w:type="dxa" w:w="60"/>
              <w:left w:type="dxa" w:w="120"/>
              <w:bottom w:type="dxa" w:w="60"/>
              <w:right w:type="dxa" w:w="120"/>
            </w:tcMar>
          </w:tcPr>
          <w:p>
            <w:pPr>
              <w:spacing w:after="0" w:line="312"/>
            </w:pPr>
            <w:r>
              <w:rPr>
                <w:rFonts w:ascii="Times New Roman" w:eastAsia="Times New Roman"/>
                <w:color w:val="000000"/>
                <w:sz w:val="21"/>
                <w:szCs w:val="21"/>
              </w:rPr>
              <w:t xml:space="preserve">0</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4 bytes</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ASCII</w:t>
            </w:r>
          </w:p>
        </w:tc>
        <w:tc>
          <w:tcPr>
            <w:tcW w:type="pct" w:w="40%"/>
            <w:tcMar>
              <w:top w:type="dxa" w:w="60"/>
              <w:left w:type="dxa" w:w="120"/>
              <w:bottom w:type="dxa" w:w="60"/>
              <w:right w:type="dxa" w:w="120"/>
            </w:tcMar>
          </w:tcPr>
          <w:p>
            <w:pPr>
              <w:spacing w:after="0" w:line="312"/>
            </w:pPr>
            <w:r>
              <w:rPr>
                <w:rFonts w:ascii="Times New Roman" w:eastAsia="Times New Roman"/>
                <w:color w:val="000000"/>
                <w:sz w:val="21"/>
                <w:szCs w:val="21"/>
              </w:rPr>
              <w:t xml:space="preserve">0x50 0x43 0x4D 0x31 (“PCM1”)</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payload_size</w:t>
            </w:r>
          </w:p>
        </w:tc>
        <w:tc>
          <w:tcPr>
            <w:tcW w:type="pct" w:w="1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4</w:t>
            </w:r>
          </w:p>
        </w:tc>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4 bytes</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u32 little-endian</w:t>
            </w:r>
          </w:p>
        </w:tc>
        <w:tc>
          <w:tcPr>
            <w:tcW w:type="pct" w:w="4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Payload length in bytes</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payload</w:t>
            </w:r>
          </w:p>
        </w:tc>
        <w:tc>
          <w:tcPr>
            <w:tcW w:type="pct" w:w="10%"/>
            <w:tcMar>
              <w:top w:type="dxa" w:w="60"/>
              <w:left w:type="dxa" w:w="120"/>
              <w:bottom w:type="dxa" w:w="60"/>
              <w:right w:type="dxa" w:w="120"/>
            </w:tcMar>
          </w:tcPr>
          <w:p>
            <w:pPr>
              <w:spacing w:after="0" w:line="312"/>
            </w:pPr>
            <w:r>
              <w:rPr>
                <w:rFonts w:ascii="Times New Roman" w:eastAsia="Times New Roman"/>
                <w:color w:val="000000"/>
                <w:sz w:val="21"/>
                <w:szCs w:val="21"/>
              </w:rPr>
              <w:t xml:space="preserve">8</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payload_size</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PCM16 mono little-endian</w:t>
            </w:r>
          </w:p>
        </w:tc>
        <w:tc>
          <w:tcPr>
            <w:tcW w:type="pct" w:w="40%"/>
            <w:tcMar>
              <w:top w:type="dxa" w:w="60"/>
              <w:left w:type="dxa" w:w="120"/>
              <w:bottom w:type="dxa" w:w="60"/>
              <w:right w:type="dxa" w:w="120"/>
            </w:tcMar>
          </w:tcPr>
          <w:p>
            <w:pPr>
              <w:spacing w:after="0" w:line="312"/>
            </w:pPr>
            <w:r>
              <w:rPr>
                <w:rFonts w:ascii="Times New Roman" w:eastAsia="Times New Roman"/>
                <w:color w:val="000000"/>
                <w:sz w:val="21"/>
                <w:szCs w:val="21"/>
              </w:rPr>
              <w:t xml:space="preserve">16 kHz signed 16-bit samples</w:t>
            </w:r>
          </w:p>
        </w:tc>
      </w:tr>
    </w:tbl>
    <w:p>
      <w:pPr>
        <w:pStyle w:val="Heading2"/>
      </w:pPr>
      <w:bookmarkStart w:id="100004" w:name="_Toc100004"/>
      <w:r>
        <w:t xml:space="preserve">2.3 Transmission Rules</w:t>
      </w:r>
      <w:bookmarkEnd w:id="100004"/>
    </w:p>
    <w:p>
      <w:pPr>
        <w:pStyle w:val="ListParagraph"/>
        <w:numPr>
          <w:ilvl w:val="0"/>
          <w:numId w:val="1"/>
        </w:numPr>
        <w:spacing w:after="60" w:line="312"/>
      </w:pPr>
      <w:r>
        <w:rPr>
          <w:rFonts w:ascii="Times New Roman" w:eastAsia="Times New Roman"/>
          <w:color w:val="000000"/>
          <w:sz w:val="24"/>
          <w:szCs w:val="24"/>
        </w:rPr>
        <w:t xml:space="preserve">Frames are emitted every 4000 samples (250 ms of audio); the nominal payload size is 8000 bytes.</w:t>
      </w:r>
    </w:p>
    <w:p>
      <w:pPr>
        <w:pStyle w:val="ListParagraph"/>
        <w:numPr>
          <w:ilvl w:val="0"/>
          <w:numId w:val="1"/>
        </w:numPr>
        <w:spacing w:after="60" w:line="312"/>
      </w:pPr>
      <w:r>
        <w:rPr>
          <w:rFonts w:ascii="Times New Roman" w:eastAsia="Times New Roman"/>
          <w:color w:val="000000"/>
          <w:sz w:val="24"/>
          <w:szCs w:val="24"/>
        </w:rPr>
        <w:t xml:space="preserve">Each frame is followed by a flush of the writer, so frame boundaries are preserved on the pipe.</w:t>
      </w:r>
    </w:p>
    <w:p>
      <w:pPr>
        <w:pStyle w:val="ListParagraph"/>
        <w:numPr>
          <w:ilvl w:val="0"/>
          <w:numId w:val="1"/>
        </w:numPr>
        <w:spacing w:after="60" w:line="312"/>
      </w:pPr>
      <w:r>
        <w:rPr>
          <w:rFonts w:ascii="Times New Roman" w:eastAsia="Times New Roman"/>
          <w:color w:val="000000"/>
          <w:sz w:val="24"/>
          <w:szCs w:val="24"/>
        </w:rPr>
        <w:t xml:space="preserve">A final short frame may be emitted on session end carrying fewer than 4000 samples.</w:t>
      </w:r>
    </w:p>
    <w:p>
      <w:pPr>
        <w:pStyle w:val="ListParagraph"/>
        <w:numPr>
          <w:ilvl w:val="0"/>
          <w:numId w:val="1"/>
        </w:numPr>
        <w:spacing w:after="60" w:line="312"/>
      </w:pPr>
      <w:r>
        <w:rPr>
          <w:rFonts w:ascii="Times New Roman" w:eastAsia="Times New Roman"/>
          <w:color w:val="000000"/>
          <w:sz w:val="24"/>
          <w:szCs w:val="24"/>
        </w:rPr>
        <w:t xml:space="preserve">Consumers must tolerate partial reads: accumulate bytes, then parse complete frames.</w:t>
      </w:r>
    </w:p>
    <w:p>
      <w:pPr>
        <w:pStyle w:val="Heading2"/>
      </w:pPr>
      <w:bookmarkStart w:id="100005" w:name="_Toc100005"/>
      <w:r>
        <w:t xml:space="preserve">2.4 Receiver Validation Rules</w:t>
      </w:r>
      <w:bookmarkEnd w:id="100005"/>
    </w:p>
    <w:p>
      <w:pPr>
        <w:pStyle w:val="ListParagraph"/>
        <w:numPr>
          <w:ilvl w:val="0"/>
          <w:numId w:val="1"/>
        </w:numPr>
        <w:spacing w:after="60" w:line="312"/>
      </w:pPr>
      <w:r>
        <w:rPr>
          <w:rFonts w:ascii="Times New Roman" w:eastAsia="Times New Roman"/>
          <w:color w:val="000000"/>
          <w:sz w:val="24"/>
          <w:szCs w:val="24"/>
        </w:rPr>
        <w:t xml:space="preserve">Verify the magic at the parse cursor; on mismatch, scan forward byte-by-byte for the next magic sequence and resynchronise there.</w:t>
      </w:r>
    </w:p>
    <w:p>
      <w:pPr>
        <w:pStyle w:val="ListParagraph"/>
        <w:numPr>
          <w:ilvl w:val="0"/>
          <w:numId w:val="1"/>
        </w:numPr>
        <w:spacing w:after="60" w:line="312"/>
      </w:pPr>
      <w:r>
        <w:rPr>
          <w:rFonts w:ascii="Times New Roman" w:eastAsia="Times New Roman"/>
          <w:color w:val="000000"/>
          <w:sz w:val="24"/>
          <w:szCs w:val="24"/>
        </w:rPr>
        <w:t xml:space="preserve">Reject payload_size values above 65536 bytes as corruption and skip past the magic.</w:t>
      </w:r>
    </w:p>
    <w:p>
      <w:pPr>
        <w:pStyle w:val="ListParagraph"/>
        <w:numPr>
          <w:ilvl w:val="0"/>
          <w:numId w:val="1"/>
        </w:numPr>
        <w:spacing w:after="60" w:line="312"/>
      </w:pPr>
      <w:r>
        <w:rPr>
          <w:rFonts w:ascii="Times New Roman" w:eastAsia="Times New Roman"/>
          <w:color w:val="000000"/>
          <w:sz w:val="24"/>
          <w:szCs w:val="24"/>
        </w:rPr>
        <w:t xml:space="preserve">When fewer bytes than the declared frame remain, wait for more input before consuming.</w:t>
      </w:r>
    </w:p>
    <w:p>
      <w:pPr>
        <w:pStyle w:val="ListParagraph"/>
        <w:numPr>
          <w:ilvl w:val="0"/>
          <w:numId w:val="1"/>
        </w:numPr>
        <w:spacing w:after="60" w:line="312"/>
      </w:pPr>
      <w:r>
        <w:rPr>
          <w:rFonts w:ascii="Times New Roman" w:eastAsia="Times New Roman"/>
          <w:color w:val="000000"/>
          <w:sz w:val="24"/>
          <w:szCs w:val="24"/>
        </w:rPr>
        <w:t xml:space="preserve">Retain up to the final 3 bytes of a discarded tail so a magic split across reads is not lost.</w:t>
      </w:r>
    </w:p>
    <w:p>
      <w:pPr>
        <w:pStyle w:val="Heading1"/>
      </w:pPr>
      <w:bookmarkStart w:id="100006" w:name="_Toc100006"/>
      <w:r>
        <w:t xml:space="preserve">3. JSON Event Contracts</w:t>
      </w:r>
      <w:bookmarkEnd w:id="100006"/>
    </w:p>
    <w:p>
      <w:pPr>
        <w:pStyle w:val="Heading2"/>
      </w:pPr>
      <w:bookmarkStart w:id="100007" w:name="_Toc100007"/>
      <w:r>
        <w:t xml:space="preserve">3.1 Conventions</w:t>
      </w:r>
      <w:bookmarkEnd w:id="100007"/>
    </w:p>
    <w:p>
      <w:pPr>
        <w:spacing w:after="120" w:line="312"/>
        <w:jc w:val="both"/>
      </w:pPr>
      <w:r>
        <w:rPr>
          <w:rFonts w:ascii="Times New Roman" w:eastAsia="Times New Roman"/>
          <w:color w:val="000000"/>
          <w:sz w:val="24"/>
          <w:szCs w:val="24"/>
        </w:rPr>
        <w:t xml:space="preserve">The sidecar emits one JSON object per line on stdout. Every object carries a type field; the Rust relay maps known types to Tauri frontend events and ignores the rest. Text fields are UTF-8. The contracts below are normative.</w:t>
      </w:r>
    </w:p>
    <w:p>
      <w:pPr>
        <w:pStyle w:val="Heading2"/>
      </w:pPr>
      <w:bookmarkStart w:id="100008" w:name="_Toc100008"/>
      <w:r>
        <w:t xml:space="preserve">3.2 Lifecycle Events</w:t>
      </w:r>
      <w:bookmarkEnd w:id="100008"/>
    </w:p>
    <w:p>
      <w:pPr>
        <w:keepNext/>
        <w:spacing w:after="80" w:before="200" w:line="312"/>
      </w:pPr>
      <w:r>
        <w:rPr>
          <w:rFonts w:ascii="Times New Roman" w:eastAsia="Times New Roman"/>
          <w:b/>
          <w:bCs/>
          <w:color w:val="404040"/>
          <w:sz w:val="21"/>
          <w:szCs w:val="21"/>
        </w:rPr>
        <w:t xml:space="preserve">Table 16 — Lifecycle Events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Type</w:t>
            </w:r>
          </w:p>
        </w:tc>
        <w:tc>
          <w:tcPr>
            <w:tcW w:type="pct" w:w="1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Fields</w:t>
            </w:r>
          </w:p>
        </w:tc>
        <w:tc>
          <w:tcPr>
            <w:tcW w:type="pct" w:w="4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Semantics</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Relayed As</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Connected</w:t>
            </w:r>
          </w:p>
        </w:tc>
        <w:tc>
          <w:tcPr>
            <w:tcW w:type="pct" w:w="18%"/>
            <w:tcMar>
              <w:top w:type="dxa" w:w="60"/>
              <w:left w:type="dxa" w:w="120"/>
              <w:bottom w:type="dxa" w:w="60"/>
              <w:right w:type="dxa" w:w="120"/>
            </w:tcMar>
          </w:tcPr>
          <w:p>
            <w:pPr>
              <w:spacing w:after="0" w:line="312"/>
            </w:pPr>
            <w:r>
              <w:rPr>
                <w:rFonts w:ascii="Times New Roman" w:eastAsia="Times New Roman"/>
                <w:color w:val="000000"/>
                <w:sz w:val="21"/>
                <w:szCs w:val="21"/>
              </w:rPr>
              <w:t xml:space="preserve">sessionId</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STT WebSocket session established</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(ignored)</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Closed</w:t>
            </w:r>
          </w:p>
        </w:tc>
        <w:tc>
          <w:tcPr>
            <w:tcW w:type="pct" w:w="1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code, reason</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STT session closed; sidecar exits</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(ignored)</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Error</w:t>
            </w:r>
          </w:p>
        </w:tc>
        <w:tc>
          <w:tcPr>
            <w:tcW w:type="pct" w:w="18%"/>
            <w:tcMar>
              <w:top w:type="dxa" w:w="60"/>
              <w:left w:type="dxa" w:w="120"/>
              <w:bottom w:type="dxa" w:w="60"/>
              <w:right w:type="dxa" w:w="120"/>
            </w:tcMar>
          </w:tcPr>
          <w:p>
            <w:pPr>
              <w:spacing w:after="0" w:line="312"/>
            </w:pPr>
            <w:r>
              <w:rPr>
                <w:rFonts w:ascii="Times New Roman" w:eastAsia="Times New Roman"/>
                <w:color w:val="000000"/>
                <w:sz w:val="21"/>
                <w:szCs w:val="21"/>
              </w:rPr>
              <w:t xml:space="preserve">message</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Fatal or user-relevant error</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capture_error</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CircuitBreaker</w:t>
            </w:r>
          </w:p>
        </w:tc>
        <w:tc>
          <w:tcPr>
            <w:tcW w:type="pct" w:w="1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API call budget exhausted</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circuit_breaker</w:t>
            </w:r>
          </w:p>
        </w:tc>
      </w:tr>
    </w:tbl>
    <w:p>
      <w:pPr>
        <w:pStyle w:val="Heading2"/>
      </w:pPr>
      <w:bookmarkStart w:id="100009" w:name="_Toc100009"/>
      <w:r>
        <w:t xml:space="preserve">3.3 Transcript Events</w:t>
      </w:r>
      <w:bookmarkEnd w:id="100009"/>
    </w:p>
    <w:p>
      <w:pPr>
        <w:keepNext/>
        <w:spacing w:after="80" w:before="200" w:line="312"/>
      </w:pPr>
      <w:r>
        <w:rPr>
          <w:rFonts w:ascii="Times New Roman" w:eastAsia="Times New Roman"/>
          <w:b/>
          <w:bCs/>
          <w:color w:val="404040"/>
          <w:sz w:val="21"/>
          <w:szCs w:val="21"/>
        </w:rPr>
        <w:t xml:space="preserve">Table 17 — Transcript Events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Type</w:t>
            </w:r>
          </w:p>
        </w:tc>
        <w:tc>
          <w:tcPr>
            <w:tcW w:type="pct" w:w="1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Fields</w:t>
            </w:r>
          </w:p>
        </w:tc>
        <w:tc>
          <w:tcPr>
            <w:tcW w:type="pct" w:w="4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Semantics</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Relayed As</w:t>
            </w:r>
          </w:p>
        </w:tc>
      </w:tr>
      <w:tr>
        <w:trPr>
          <w:cantSplit/>
        </w:trPr>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Partial</w:t>
            </w:r>
          </w:p>
        </w:tc>
        <w:tc>
          <w:tcPr>
            <w:tcW w:type="pct" w:w="18%"/>
            <w:tcMar>
              <w:top w:type="dxa" w:w="60"/>
              <w:left w:type="dxa" w:w="120"/>
              <w:bottom w:type="dxa" w:w="60"/>
              <w:right w:type="dxa" w:w="120"/>
            </w:tcMar>
          </w:tcPr>
          <w:p>
            <w:pPr>
              <w:spacing w:after="0" w:line="312"/>
            </w:pPr>
            <w:r>
              <w:rPr>
                <w:rFonts w:ascii="Times New Roman" w:eastAsia="Times New Roman"/>
                <w:color w:val="000000"/>
                <w:sz w:val="21"/>
                <w:szCs w:val="21"/>
              </w:rPr>
              <w:t xml:space="preserve">text, speaker</w:t>
            </w:r>
          </w:p>
        </w:tc>
        <w:tc>
          <w:tcPr>
            <w:tcW w:type="pct" w:w="44%"/>
            <w:tcMar>
              <w:top w:type="dxa" w:w="60"/>
              <w:left w:type="dxa" w:w="120"/>
              <w:bottom w:type="dxa" w:w="60"/>
              <w:right w:type="dxa" w:w="120"/>
            </w:tcMar>
          </w:tcPr>
          <w:p>
            <w:pPr>
              <w:spacing w:after="0" w:line="312"/>
            </w:pPr>
            <w:r>
              <w:rPr>
                <w:rFonts w:ascii="Times New Roman" w:eastAsia="Times New Roman"/>
                <w:color w:val="000000"/>
                <w:sz w:val="21"/>
                <w:szCs w:val="21"/>
              </w:rPr>
              <w:t xml:space="preserve">Interim recognition result for the current turn</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transcript_partial</w:t>
            </w:r>
          </w:p>
        </w:tc>
      </w:tr>
      <w:tr>
        <w:trPr>
          <w:cantSplit/>
        </w:trPr>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Final</w:t>
            </w:r>
          </w:p>
        </w:tc>
        <w:tc>
          <w:tcPr>
            <w:tcW w:type="pct" w:w="1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text, speaker</w:t>
            </w:r>
          </w:p>
        </w:tc>
        <w:tc>
          <w:tcPr>
            <w:tcW w:type="pct" w:w="4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Finalised utterance; end of turn detected</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transcript_final</w:t>
            </w:r>
          </w:p>
        </w:tc>
      </w:tr>
    </w:tbl>
    <w:p>
      <w:pPr>
        <w:pStyle w:val="Heading2"/>
      </w:pPr>
      <w:bookmarkStart w:id="100010" w:name="_Toc100010"/>
      <w:r>
        <w:t xml:space="preserve">3.4 Analysis Events</w:t>
      </w:r>
      <w:bookmarkEnd w:id="100010"/>
    </w:p>
    <w:p>
      <w:pPr>
        <w:keepNext/>
        <w:spacing w:after="80" w:before="200" w:line="312"/>
      </w:pPr>
      <w:r>
        <w:rPr>
          <w:rFonts w:ascii="Times New Roman" w:eastAsia="Times New Roman"/>
          <w:b/>
          <w:bCs/>
          <w:color w:val="404040"/>
          <w:sz w:val="21"/>
          <w:szCs w:val="21"/>
        </w:rPr>
        <w:t xml:space="preserve">Table 18 — Analysis Events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Type</w:t>
            </w:r>
          </w:p>
        </w:tc>
        <w:tc>
          <w:tcPr>
            <w:tcW w:type="pct" w:w="3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Fields</w:t>
            </w:r>
          </w:p>
        </w:tc>
        <w:tc>
          <w:tcPr>
            <w:tcW w:type="pct" w:w="3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Semantics</w:t>
            </w:r>
          </w:p>
        </w:tc>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Relayed As</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Significance</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level: none \| low \| medium \| high</w:t>
            </w:r>
          </w:p>
        </w:tc>
        <w:tc>
          <w:tcPr>
            <w:tcW w:type="pct" w:w="32%"/>
            <w:tcMar>
              <w:top w:type="dxa" w:w="60"/>
              <w:left w:type="dxa" w:w="120"/>
              <w:bottom w:type="dxa" w:w="60"/>
              <w:right w:type="dxa" w:w="120"/>
            </w:tcMar>
          </w:tcPr>
          <w:p>
            <w:pPr>
              <w:spacing w:after="0" w:line="312"/>
            </w:pPr>
            <w:r>
              <w:rPr>
                <w:rFonts w:ascii="Times New Roman" w:eastAsia="Times New Roman"/>
                <w:color w:val="000000"/>
                <w:sz w:val="21"/>
                <w:szCs w:val="21"/>
              </w:rPr>
              <w:t xml:space="preserve">Grade assigned to the analysed chunk</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chunk_significance</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Explanation</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text</w:t>
            </w:r>
          </w:p>
        </w:tc>
        <w:tc>
          <w:tcPr>
            <w:tcW w:type="pct" w:w="3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Plain-language explanation of a technical chunk</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context_explanation</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Decisions</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items: [{ text, confidence }]</w:t>
            </w:r>
          </w:p>
        </w:tc>
        <w:tc>
          <w:tcPr>
            <w:tcW w:type="pct" w:w="32%"/>
            <w:tcMar>
              <w:top w:type="dxa" w:w="60"/>
              <w:left w:type="dxa" w:w="120"/>
              <w:bottom w:type="dxa" w:w="60"/>
              <w:right w:type="dxa" w:w="120"/>
            </w:tcMar>
          </w:tcPr>
          <w:p>
            <w:pPr>
              <w:spacing w:after="0" w:line="312"/>
            </w:pPr>
            <w:r>
              <w:rPr>
                <w:rFonts w:ascii="Times New Roman" w:eastAsia="Times New Roman"/>
                <w:color w:val="000000"/>
                <w:sz w:val="21"/>
                <w:szCs w:val="21"/>
              </w:rPr>
              <w:t xml:space="preserve">Decisions extracted from a high chunk</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meeting_decisions</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ActionItems</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items: [{ text, assignee, deadline }]</w:t>
            </w:r>
          </w:p>
        </w:tc>
        <w:tc>
          <w:tcPr>
            <w:tcW w:type="pct" w:w="3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Action items; assignee/deadline nullable</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meeting_action_items</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Response</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text</w:t>
            </w:r>
          </w:p>
        </w:tc>
        <w:tc>
          <w:tcPr>
            <w:tcW w:type="pct" w:w="32%"/>
            <w:tcMar>
              <w:top w:type="dxa" w:w="60"/>
              <w:left w:type="dxa" w:w="120"/>
              <w:bottom w:type="dxa" w:w="60"/>
              <w:right w:type="dxa" w:w="120"/>
            </w:tcMar>
          </w:tcPr>
          <w:p>
            <w:pPr>
              <w:spacing w:after="0" w:line="312"/>
            </w:pPr>
            <w:r>
              <w:rPr>
                <w:rFonts w:ascii="Times New Roman" w:eastAsia="Times New Roman"/>
                <w:color w:val="000000"/>
                <w:sz w:val="21"/>
                <w:szCs w:val="21"/>
              </w:rPr>
              <w:t xml:space="preserve">Suggested conversational reply</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suggested_response</w:t>
            </w:r>
          </w:p>
        </w:tc>
      </w:tr>
    </w:tbl>
    <w:p>
      <w:pPr>
        <w:pStyle w:val="Heading2"/>
      </w:pPr>
      <w:bookmarkStart w:id="100011" w:name="_Toc100011"/>
      <w:r>
        <w:t xml:space="preserve">3.5 Event Examples</w:t>
      </w:r>
      <w:bookmarkEnd w:id="100011"/>
    </w:p>
    <w:tbl>
      <w:tblPr>
        <w:tblW w:type="pct" w:w="100%"/>
        <w:tblBorders>
          <w:top w:val="single" w:color="DDD8CC" w:sz="2"/>
          <w:left w:val="single" w:color="DDD8CC" w:sz="2"/>
          <w:bottom w:val="single" w:color="DDD8CC" w:sz="2"/>
          <w:right w:val="single" w:color="DDD8CC" w:sz="2"/>
          <w:insideH w:val="none"/>
          <w:insideV w:val="none"/>
        </w:tblBorders>
        <w:tblLayout w:type="fixed"/>
      </w:tblPr>
      <w:tblGrid>
        <w:gridCol w:w="100"/>
      </w:tblGrid>
      <w:tr>
        <w:trPr>
          <w:cantSplit/>
        </w:trPr>
        <w:tc>
          <w:tcPr>
            <w:tcW w:type="pct" w:w="100%"/>
            <w:shd w:fill="F7F5F0" w:val="clear"/>
            <w:tcMar>
              <w:top w:type="dxa" w:w="100"/>
              <w:left w:type="dxa" w:w="160"/>
              <w:bottom w:type="dxa" w:w="100"/>
              <w:right w:type="dxa" w:w="160"/>
            </w:tcMar>
          </w:tcPr>
          <w:p>
            <w:pPr>
              <w:spacing w:after="20" w:line="312"/>
            </w:pPr>
            <w:r>
              <w:rPr>
                <w:rFonts w:ascii="Courier New" w:eastAsia="Courier New"/>
                <w:color w:val="1A1A1A"/>
                <w:sz w:val="18"/>
                <w:szCs w:val="18"/>
              </w:rPr>
              <w:t xml:space="preserve">{"type":"Final","text":"We will ship the beta on Friday.","speaker":"Speaker A"}</w:t>
            </w:r>
          </w:p>
          <w:p>
            <w:pPr>
              <w:spacing w:after="20" w:line="312"/>
            </w:pPr>
            <w:r>
              <w:rPr>
                <w:rFonts w:ascii="Courier New" w:eastAsia="Courier New"/>
                <w:color w:val="1A1A1A"/>
                <w:sz w:val="18"/>
                <w:szCs w:val="18"/>
              </w:rPr>
              <w:t xml:space="preserve">{"type":"Significance","level":"high"}</w:t>
            </w:r>
          </w:p>
          <w:p>
            <w:pPr>
              <w:spacing w:after="20" w:line="312"/>
            </w:pPr>
            <w:r>
              <w:rPr>
                <w:rFonts w:ascii="Courier New" w:eastAsia="Courier New"/>
                <w:color w:val="1A1A1A"/>
                <w:sz w:val="18"/>
                <w:szCs w:val="18"/>
              </w:rPr>
              <w:t xml:space="preserve">{"type":"Decisions","items":[{"text":"Ship the beta on Friday","confidence":0.9}]}</w:t>
            </w:r>
          </w:p>
          <w:p>
            <w:pPr>
              <w:spacing w:after="20" w:line="312"/>
            </w:pPr>
            <w:r>
              <w:rPr>
                <w:rFonts w:ascii="Courier New" w:eastAsia="Courier New"/>
                <w:color w:val="1A1A1A"/>
                <w:sz w:val="18"/>
                <w:szCs w:val="18"/>
              </w:rPr>
              <w:t xml:space="preserve">{"type":"ActionItems","items":[{"text":"Prepare release notes","assignee":"Priya","deadline":"Thursday"}]}</w:t>
            </w:r>
          </w:p>
          <w:p>
            <w:pPr>
              <w:spacing w:after="20" w:line="312"/>
            </w:pPr>
            <w:r>
              <w:rPr>
                <w:rFonts w:ascii="Courier New" w:eastAsia="Courier New"/>
                <w:color w:val="1A1A1A"/>
                <w:sz w:val="18"/>
                <w:szCs w:val="18"/>
              </w:rPr>
              <w:t xml:space="preserve">{"type":"Response","text":"That sounds good — do we need a rollback plan for Friday?"}</w:t>
            </w:r>
          </w:p>
        </w:tc>
      </w:tr>
    </w:tbl>
    <w:p>
      <w:pPr>
        <w:pStyle w:val="Heading1"/>
      </w:pPr>
      <w:bookmarkStart w:id="100012" w:name="_Toc100012"/>
      <w:r>
        <w:t xml:space="preserve">4. Relational Schema (PostgreSQL)</w:t>
      </w:r>
      <w:bookmarkEnd w:id="100012"/>
    </w:p>
    <w:p>
      <w:pPr>
        <w:pStyle w:val="Heading2"/>
      </w:pPr>
      <w:bookmarkStart w:id="100013" w:name="_Toc100013"/>
      <w:r>
        <w:t xml:space="preserve">4.1 Overview</w:t>
      </w:r>
      <w:bookmarkEnd w:id="100013"/>
    </w:p>
    <w:p>
      <w:pPr>
        <w:spacing w:after="120" w:line="312"/>
        <w:jc w:val="both"/>
      </w:pPr>
      <w:r>
        <w:rPr>
          <w:rFonts w:ascii="Times New Roman" w:eastAsia="Times New Roman"/>
          <w:color w:val="000000"/>
          <w:sz w:val="24"/>
          <w:szCs w:val="24"/>
        </w:rPr>
        <w:t xml:space="preserve">When DATABASE_URL is configured the sidecar creates the schema below at startup using CREATE TABLE IF NOT EXISTS, then opens one meetings row per session and relates all captured artifacts to it. All tables use serial surrogate keys and default-current-timestamp audit columns.</w:t>
      </w:r>
    </w:p>
    <w:p>
      <w:pPr>
        <w:pStyle w:val="Heading2"/>
      </w:pPr>
      <w:bookmarkStart w:id="100014" w:name="_Toc100014"/>
      <w:r>
        <w:t xml:space="preserve">4.2 Table Definitions</w:t>
      </w:r>
      <w:bookmarkEnd w:id="100014"/>
    </w:p>
    <w:tbl>
      <w:tblPr>
        <w:tblW w:type="pct" w:w="100%"/>
        <w:tblBorders>
          <w:top w:val="single" w:color="DDD8CC" w:sz="2"/>
          <w:left w:val="single" w:color="DDD8CC" w:sz="2"/>
          <w:bottom w:val="single" w:color="DDD8CC" w:sz="2"/>
          <w:right w:val="single" w:color="DDD8CC" w:sz="2"/>
          <w:insideH w:val="none"/>
          <w:insideV w:val="none"/>
        </w:tblBorders>
        <w:tblLayout w:type="fixed"/>
      </w:tblPr>
      <w:tblGrid>
        <w:gridCol w:w="100"/>
      </w:tblGrid>
      <w:tr>
        <w:trPr>
          <w:cantSplit/>
        </w:trPr>
        <w:tc>
          <w:tcPr>
            <w:tcW w:type="pct" w:w="100%"/>
            <w:shd w:fill="F7F5F0" w:val="clear"/>
            <w:tcMar>
              <w:top w:type="dxa" w:w="100"/>
              <w:left w:type="dxa" w:w="160"/>
              <w:bottom w:type="dxa" w:w="100"/>
              <w:right w:type="dxa" w:w="160"/>
            </w:tcMar>
          </w:tcPr>
          <w:p>
            <w:pPr>
              <w:spacing w:after="20" w:line="312"/>
            </w:pPr>
            <w:r>
              <w:rPr>
                <w:rFonts w:ascii="Courier New" w:eastAsia="Courier New"/>
                <w:color w:val="1A1A1A"/>
                <w:sz w:val="18"/>
                <w:szCs w:val="18"/>
              </w:rPr>
              <w:t xml:space="preserve">CREATE TABLE meetings (</w:t>
            </w:r>
          </w:p>
          <w:p>
            <w:pPr>
              <w:spacing w:after="20" w:line="312"/>
            </w:pPr>
            <w:r>
              <w:rPr>
                <w:rFonts w:ascii="Courier New" w:eastAsia="Courier New"/>
                <w:color w:val="1A1A1A"/>
                <w:sz w:val="18"/>
                <w:szCs w:val="18"/>
              </w:rPr>
              <w:t xml:space="preserve">    id SERIAL PRIMARY KEY,</w:t>
            </w:r>
          </w:p>
          <w:p>
            <w:pPr>
              <w:spacing w:after="20" w:line="312"/>
            </w:pPr>
            <w:r>
              <w:rPr>
                <w:rFonts w:ascii="Courier New" w:eastAsia="Courier New"/>
                <w:color w:val="1A1A1A"/>
                <w:sz w:val="18"/>
                <w:szCs w:val="18"/>
              </w:rPr>
              <w:t xml:space="preserve">    start_time TIMESTAMP DEFAULT CURRENT_TIMESTAMP,</w:t>
            </w:r>
          </w:p>
          <w:p>
            <w:pPr>
              <w:spacing w:after="20" w:line="312"/>
            </w:pPr>
            <w:r>
              <w:rPr>
                <w:rFonts w:ascii="Courier New" w:eastAsia="Courier New"/>
                <w:color w:val="1A1A1A"/>
                <w:sz w:val="18"/>
                <w:szCs w:val="18"/>
              </w:rPr>
              <w:t xml:space="preserve">    summary TEXT</w:t>
            </w:r>
          </w:p>
          <w:p>
            <w:pPr>
              <w:spacing w:after="20" w:line="312"/>
            </w:pPr>
            <w:r>
              <w:rPr>
                <w:rFonts w:ascii="Courier New" w:eastAsia="Courier New"/>
                <w:color w:val="1A1A1A"/>
                <w:sz w:val="18"/>
                <w:szCs w:val="18"/>
              </w:rPr>
              <w:t xml:space="preserve">);</w:t>
            </w:r>
          </w:p>
          <w:p>
            <w:pPr>
              <w:spacing w:after="20" w:line="312"/>
            </w:pPr>
            <w:r>
              <w:rPr>
                <w:rFonts w:ascii="Courier New" w:eastAsia="Courier New"/>
                <w:color w:val="1A1A1A"/>
                <w:sz w:val="18"/>
                <w:szCs w:val="18"/>
              </w:rPr>
              <w:t xml:space="preserve">CREATE TABLE transcripts (</w:t>
            </w:r>
          </w:p>
          <w:p>
            <w:pPr>
              <w:spacing w:after="20" w:line="312"/>
            </w:pPr>
            <w:r>
              <w:rPr>
                <w:rFonts w:ascii="Courier New" w:eastAsia="Courier New"/>
                <w:color w:val="1A1A1A"/>
                <w:sz w:val="18"/>
                <w:szCs w:val="18"/>
              </w:rPr>
              <w:t xml:space="preserve">    id SERIAL PRIMARY KEY,</w:t>
            </w:r>
          </w:p>
          <w:p>
            <w:pPr>
              <w:spacing w:after="20" w:line="312"/>
            </w:pPr>
            <w:r>
              <w:rPr>
                <w:rFonts w:ascii="Courier New" w:eastAsia="Courier New"/>
                <w:color w:val="1A1A1A"/>
                <w:sz w:val="18"/>
                <w:szCs w:val="18"/>
              </w:rPr>
              <w:t xml:space="preserve">    meeting_id INTEGER REFERENCES meetings(id),</w:t>
            </w:r>
          </w:p>
          <w:p>
            <w:pPr>
              <w:spacing w:after="20" w:line="312"/>
            </w:pPr>
            <w:r>
              <w:rPr>
                <w:rFonts w:ascii="Courier New" w:eastAsia="Courier New"/>
                <w:color w:val="1A1A1A"/>
                <w:sz w:val="18"/>
                <w:szCs w:val="18"/>
              </w:rPr>
              <w:t xml:space="preserve">    speaker VARCHAR(50),</w:t>
            </w:r>
          </w:p>
          <w:p>
            <w:pPr>
              <w:spacing w:after="20" w:line="312"/>
            </w:pPr>
            <w:r>
              <w:rPr>
                <w:rFonts w:ascii="Courier New" w:eastAsia="Courier New"/>
                <w:color w:val="1A1A1A"/>
                <w:sz w:val="18"/>
                <w:szCs w:val="18"/>
              </w:rPr>
              <w:t xml:space="preserve">    text TEXT,</w:t>
            </w:r>
          </w:p>
          <w:p>
            <w:pPr>
              <w:spacing w:after="20" w:line="312"/>
            </w:pPr>
            <w:r>
              <w:rPr>
                <w:rFonts w:ascii="Courier New" w:eastAsia="Courier New"/>
                <w:color w:val="1A1A1A"/>
                <w:sz w:val="18"/>
                <w:szCs w:val="18"/>
              </w:rPr>
              <w:t xml:space="preserve">    timestamp TIMESTAMP DEFAULT CURRENT_TIMESTAMP</w:t>
            </w:r>
          </w:p>
          <w:p>
            <w:pPr>
              <w:spacing w:after="20" w:line="312"/>
            </w:pPr>
            <w:r>
              <w:rPr>
                <w:rFonts w:ascii="Courier New" w:eastAsia="Courier New"/>
                <w:color w:val="1A1A1A"/>
                <w:sz w:val="18"/>
                <w:szCs w:val="18"/>
              </w:rPr>
              <w:t xml:space="preserve">);</w:t>
            </w:r>
          </w:p>
          <w:p>
            <w:pPr>
              <w:spacing w:after="20" w:line="312"/>
            </w:pPr>
            <w:r>
              <w:rPr>
                <w:rFonts w:ascii="Courier New" w:eastAsia="Courier New"/>
                <w:color w:val="1A1A1A"/>
                <w:sz w:val="18"/>
                <w:szCs w:val="18"/>
              </w:rPr>
              <w:t xml:space="preserve">CREATE TABLE decisions (</w:t>
            </w:r>
          </w:p>
          <w:p>
            <w:pPr>
              <w:spacing w:after="20" w:line="312"/>
            </w:pPr>
            <w:r>
              <w:rPr>
                <w:rFonts w:ascii="Courier New" w:eastAsia="Courier New"/>
                <w:color w:val="1A1A1A"/>
                <w:sz w:val="18"/>
                <w:szCs w:val="18"/>
              </w:rPr>
              <w:t xml:space="preserve">    id SERIAL PRIMARY KEY,</w:t>
            </w:r>
          </w:p>
          <w:p>
            <w:pPr>
              <w:spacing w:after="20" w:line="312"/>
            </w:pPr>
            <w:r>
              <w:rPr>
                <w:rFonts w:ascii="Courier New" w:eastAsia="Courier New"/>
                <w:color w:val="1A1A1A"/>
                <w:sz w:val="18"/>
                <w:szCs w:val="18"/>
              </w:rPr>
              <w:t xml:space="preserve">    meeting_id INTEGER REFERENCES meetings(id),</w:t>
            </w:r>
          </w:p>
          <w:p>
            <w:pPr>
              <w:spacing w:after="20" w:line="312"/>
            </w:pPr>
            <w:r>
              <w:rPr>
                <w:rFonts w:ascii="Courier New" w:eastAsia="Courier New"/>
                <w:color w:val="1A1A1A"/>
                <w:sz w:val="18"/>
                <w:szCs w:val="18"/>
              </w:rPr>
              <w:t xml:space="preserve">    description TEXT,</w:t>
            </w:r>
          </w:p>
          <w:p>
            <w:pPr>
              <w:spacing w:after="20" w:line="312"/>
            </w:pPr>
            <w:r>
              <w:rPr>
                <w:rFonts w:ascii="Courier New" w:eastAsia="Courier New"/>
                <w:color w:val="1A1A1A"/>
                <w:sz w:val="18"/>
                <w:szCs w:val="18"/>
              </w:rPr>
              <w:t xml:space="preserve">    timestamp TIMESTAMP DEFAULT CURRENT_TIMESTAMP</w:t>
            </w:r>
          </w:p>
          <w:p>
            <w:pPr>
              <w:spacing w:after="20" w:line="312"/>
            </w:pPr>
            <w:r>
              <w:rPr>
                <w:rFonts w:ascii="Courier New" w:eastAsia="Courier New"/>
                <w:color w:val="1A1A1A"/>
                <w:sz w:val="18"/>
                <w:szCs w:val="18"/>
              </w:rPr>
              <w:t xml:space="preserve">);</w:t>
            </w:r>
          </w:p>
          <w:p>
            <w:pPr>
              <w:spacing w:after="20" w:line="312"/>
            </w:pPr>
            <w:r>
              <w:rPr>
                <w:rFonts w:ascii="Courier New" w:eastAsia="Courier New"/>
                <w:color w:val="1A1A1A"/>
                <w:sz w:val="18"/>
                <w:szCs w:val="18"/>
              </w:rPr>
              <w:t xml:space="preserve">CREATE TABLE action_items (</w:t>
            </w:r>
          </w:p>
          <w:p>
            <w:pPr>
              <w:spacing w:after="20" w:line="312"/>
            </w:pPr>
            <w:r>
              <w:rPr>
                <w:rFonts w:ascii="Courier New" w:eastAsia="Courier New"/>
                <w:color w:val="1A1A1A"/>
                <w:sz w:val="18"/>
                <w:szCs w:val="18"/>
              </w:rPr>
              <w:t xml:space="preserve">    id SERIAL PRIMARY KEY,</w:t>
            </w:r>
          </w:p>
          <w:p>
            <w:pPr>
              <w:spacing w:after="20" w:line="312"/>
            </w:pPr>
            <w:r>
              <w:rPr>
                <w:rFonts w:ascii="Courier New" w:eastAsia="Courier New"/>
                <w:color w:val="1A1A1A"/>
                <w:sz w:val="18"/>
                <w:szCs w:val="18"/>
              </w:rPr>
              <w:t xml:space="preserve">    meeting_id INTEGER REFERENCES meetings(id),</w:t>
            </w:r>
          </w:p>
          <w:p>
            <w:pPr>
              <w:spacing w:after="20" w:line="312"/>
            </w:pPr>
            <w:r>
              <w:rPr>
                <w:rFonts w:ascii="Courier New" w:eastAsia="Courier New"/>
                <w:color w:val="1A1A1A"/>
                <w:sz w:val="18"/>
                <w:szCs w:val="18"/>
              </w:rPr>
              <w:t xml:space="preserve">    assignee VARCHAR(100),</w:t>
            </w:r>
          </w:p>
          <w:p>
            <w:pPr>
              <w:spacing w:after="20" w:line="312"/>
            </w:pPr>
            <w:r>
              <w:rPr>
                <w:rFonts w:ascii="Courier New" w:eastAsia="Courier New"/>
                <w:color w:val="1A1A1A"/>
                <w:sz w:val="18"/>
                <w:szCs w:val="18"/>
              </w:rPr>
              <w:t xml:space="preserve">    description TEXT,</w:t>
            </w:r>
          </w:p>
          <w:p>
            <w:pPr>
              <w:spacing w:after="20" w:line="312"/>
            </w:pPr>
            <w:r>
              <w:rPr>
                <w:rFonts w:ascii="Courier New" w:eastAsia="Courier New"/>
                <w:color w:val="1A1A1A"/>
                <w:sz w:val="18"/>
                <w:szCs w:val="18"/>
              </w:rPr>
              <w:t xml:space="preserve">    timestamp TIMESTAMP DEFAULT CURRENT_TIMESTAMP</w:t>
            </w:r>
          </w:p>
          <w:p>
            <w:pPr>
              <w:spacing w:after="20" w:line="312"/>
            </w:pPr>
            <w:r>
              <w:rPr>
                <w:rFonts w:ascii="Courier New" w:eastAsia="Courier New"/>
                <w:color w:val="1A1A1A"/>
                <w:sz w:val="18"/>
                <w:szCs w:val="18"/>
              </w:rPr>
              <w:t xml:space="preserve">);</w:t>
            </w:r>
          </w:p>
        </w:tc>
      </w:tr>
    </w:tbl>
    <w:p>
      <w:pPr>
        <w:pStyle w:val="Heading2"/>
      </w:pPr>
      <w:bookmarkStart w:id="100015" w:name="_Toc100015"/>
      <w:r>
        <w:t xml:space="preserve">4.3 Entity Relationships</w:t>
      </w:r>
      <w:bookmarkEnd w:id="100015"/>
    </w:p>
    <w:p>
      <w:pPr>
        <w:spacing w:after="120" w:line="312"/>
        <w:jc w:val="both"/>
      </w:pPr>
      <w:r>
        <w:rPr>
          <w:rFonts w:ascii="Times New Roman" w:eastAsia="Times New Roman"/>
          <w:color w:val="000000"/>
          <w:sz w:val="24"/>
          <w:szCs w:val="24"/>
        </w:rPr>
        <w:t xml:space="preserve">meetings is the aggregate root. transcripts, decisions and action_items each hold a foreign key to meetings(id). There are no other relationships; the schema is intentionally denormalised for append-only batch writes. The entity model is depicted below.</w:t>
      </w:r>
    </w:p>
    <w:tbl>
      <w:tblPr>
        <w:tblW w:type="pct" w:w="100%"/>
        <w:tblBorders>
          <w:top w:val="single" w:color="DDD8CC" w:sz="2"/>
          <w:left w:val="single" w:color="DDD8CC" w:sz="2"/>
          <w:bottom w:val="single" w:color="DDD8CC" w:sz="2"/>
          <w:right w:val="single" w:color="DDD8CC" w:sz="2"/>
          <w:insideH w:val="none"/>
          <w:insideV w:val="none"/>
        </w:tblBorders>
        <w:tblLayout w:type="fixed"/>
      </w:tblPr>
      <w:tblGrid>
        <w:gridCol w:w="100"/>
      </w:tblGrid>
      <w:tr>
        <w:trPr>
          <w:cantSplit/>
        </w:trPr>
        <w:tc>
          <w:tcPr>
            <w:tcW w:type="pct" w:w="100%"/>
            <w:shd w:fill="F7F5F0" w:val="clear"/>
            <w:tcMar>
              <w:top w:type="dxa" w:w="100"/>
              <w:left w:type="dxa" w:w="160"/>
              <w:bottom w:type="dxa" w:w="100"/>
              <w:right w:type="dxa" w:w="160"/>
            </w:tcMar>
          </w:tcPr>
          <w:p>
            <w:pPr>
              <w:spacing w:after="20" w:line="312"/>
            </w:pPr>
            <w:r>
              <w:rPr>
                <w:rFonts w:ascii="Courier New" w:eastAsia="Courier New"/>
                <w:color w:val="1A1A1A"/>
                <w:sz w:val="18"/>
                <w:szCs w:val="18"/>
              </w:rPr>
              <w:t xml:space="preserve">meetings 1 ─── * transcripts</w:t>
            </w:r>
          </w:p>
          <w:p>
            <w:pPr>
              <w:spacing w:after="20" w:line="312"/>
            </w:pPr>
            <w:r>
              <w:rPr>
                <w:rFonts w:ascii="Courier New" w:eastAsia="Courier New"/>
                <w:color w:val="1A1A1A"/>
                <w:sz w:val="18"/>
                <w:szCs w:val="18"/>
              </w:rPr>
              <w:t xml:space="preserve">meetings 1 ─── * decisions</w:t>
            </w:r>
          </w:p>
          <w:p>
            <w:pPr>
              <w:spacing w:after="20" w:line="312"/>
            </w:pPr>
            <w:r>
              <w:rPr>
                <w:rFonts w:ascii="Courier New" w:eastAsia="Courier New"/>
                <w:color w:val="1A1A1A"/>
                <w:sz w:val="18"/>
                <w:szCs w:val="18"/>
              </w:rPr>
              <w:t xml:space="preserve">meetings 1 ─── * action_items</w:t>
            </w:r>
          </w:p>
        </w:tc>
      </w:tr>
    </w:tbl>
    <w:p>
      <w:pPr>
        <w:pStyle w:val="Heading2"/>
      </w:pPr>
      <w:bookmarkStart w:id="100016" w:name="_Toc100016"/>
      <w:r>
        <w:t xml:space="preserve">4.4 Write Pattern</w:t>
      </w:r>
      <w:bookmarkEnd w:id="100016"/>
    </w:p>
    <w:p>
      <w:pPr>
        <w:spacing w:after="120" w:line="312"/>
        <w:jc w:val="both"/>
      </w:pPr>
      <w:r>
        <w:rPr>
          <w:rFonts w:ascii="Times New Roman" w:eastAsia="Times New Roman"/>
          <w:color w:val="000000"/>
          <w:sz w:val="24"/>
          <w:szCs w:val="24"/>
        </w:rPr>
        <w:t xml:space="preserve">Writes are batched: rows accumulate in memory and are flushed every five seconds as multi-row parameterised INSERTs, one statement per table. Batching keeps database round-trips off the real-time path. On session end the timer is cleared and remaining batches are flushed before the pool closes. The meetings.summary column is populated only if a summary is supplied at session end; the current implementation passes an empty string, so summary remains null in practice — a functional gap worth noting for the roadmap.</w:t>
      </w:r>
    </w:p>
    <w:p>
      <w:pPr>
        <w:pStyle w:val="Heading1"/>
      </w:pPr>
      <w:bookmarkStart w:id="100017" w:name="_Toc100017"/>
      <w:r>
        <w:t xml:space="preserve">5. Configuration Specification</w:t>
      </w:r>
      <w:bookmarkEnd w:id="100017"/>
    </w:p>
    <w:p>
      <w:pPr>
        <w:keepNext/>
        <w:spacing w:after="80" w:before="200" w:line="312"/>
      </w:pPr>
      <w:r>
        <w:rPr>
          <w:rFonts w:ascii="Times New Roman" w:eastAsia="Times New Roman"/>
          <w:b/>
          <w:bCs/>
          <w:color w:val="404040"/>
          <w:sz w:val="21"/>
          <w:szCs w:val="21"/>
        </w:rPr>
        <w:t xml:space="preserve">Table 19 — Environment Variables (gateway/.env)</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Variable</w:t>
            </w:r>
          </w:p>
        </w:tc>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Required</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Format</w:t>
            </w:r>
          </w:p>
        </w:tc>
        <w:tc>
          <w:tcPr>
            <w:tcW w:type="pct" w:w="3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Purpose</w:t>
            </w:r>
          </w:p>
        </w:tc>
      </w:tr>
      <w:tr>
        <w:trPr>
          <w:cantSplit/>
        </w:trPr>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ASSEMBLYAI_API_KEY</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Yes</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Vendor-issued string</w:t>
            </w:r>
          </w:p>
        </w:tc>
        <w:tc>
          <w:tcPr>
            <w:tcW w:type="pct" w:w="38%"/>
            <w:tcMar>
              <w:top w:type="dxa" w:w="60"/>
              <w:left w:type="dxa" w:w="120"/>
              <w:bottom w:type="dxa" w:w="60"/>
              <w:right w:type="dxa" w:w="120"/>
            </w:tcMar>
          </w:tcPr>
          <w:p>
            <w:pPr>
              <w:spacing w:after="0" w:line="312"/>
            </w:pPr>
            <w:r>
              <w:rPr>
                <w:rFonts w:ascii="Times New Roman" w:eastAsia="Times New Roman"/>
                <w:color w:val="000000"/>
                <w:sz w:val="21"/>
                <w:szCs w:val="21"/>
              </w:rPr>
              <w:t xml:space="preserve">Authenticates the streaming STT session</w:t>
            </w:r>
          </w:p>
        </w:tc>
      </w:tr>
      <w:tr>
        <w:trPr>
          <w:cantSplit/>
        </w:trPr>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GEMINI_API_KEY</w:t>
            </w:r>
          </w:p>
        </w:tc>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Yes</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Vendor-issued string</w:t>
            </w:r>
          </w:p>
        </w:tc>
        <w:tc>
          <w:tcPr>
            <w:tcW w:type="pct" w:w="3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Authenticates all LLM pipeline stages</w:t>
            </w:r>
          </w:p>
        </w:tc>
      </w:tr>
      <w:tr>
        <w:trPr>
          <w:cantSplit/>
        </w:trPr>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DATABASE_URL</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No</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postgres://user:pass@host:5432/db</w:t>
            </w:r>
          </w:p>
        </w:tc>
        <w:tc>
          <w:tcPr>
            <w:tcW w:type="pct" w:w="38%"/>
            <w:tcMar>
              <w:top w:type="dxa" w:w="60"/>
              <w:left w:type="dxa" w:w="120"/>
              <w:bottom w:type="dxa" w:w="60"/>
              <w:right w:type="dxa" w:w="120"/>
            </w:tcMar>
          </w:tcPr>
          <w:p>
            <w:pPr>
              <w:spacing w:after="0" w:line="312"/>
            </w:pPr>
            <w:r>
              <w:rPr>
                <w:rFonts w:ascii="Times New Roman" w:eastAsia="Times New Roman"/>
                <w:color w:val="000000"/>
                <w:sz w:val="21"/>
                <w:szCs w:val="21"/>
              </w:rPr>
              <w:t xml:space="preserve">Enables persistence; absence selects memory-only mode</w:t>
            </w:r>
          </w:p>
        </w:tc>
      </w:tr>
    </w:tbl>
    <w:p>
      <w:pPr>
        <w:spacing w:after="120" w:line="312"/>
        <w:jc w:val="both"/>
      </w:pPr>
      <w:r>
        <w:rPr>
          <w:rFonts w:ascii="Times New Roman" w:eastAsia="Times New Roman"/>
          <w:color w:val="000000"/>
          <w:sz w:val="24"/>
          <w:szCs w:val="24"/>
        </w:rPr>
        <w:t xml:space="preserve">The sidecar fails fast with a typed Error event when either required key is missing. The .env file is correctly gitignored; however, committed test files currently contain live keys — see finding F-01 in the Security Assessment.</w:t>
      </w:r>
    </w:p>
    <w:p>
      <w:pPr>
        <w:pStyle w:val="Heading1"/>
      </w:pPr>
      <w:bookmarkStart w:id="100018" w:name="_Toc100018"/>
      <w:r>
        <w:t xml:space="preserve">6. Interface Compatibility Notes</w:t>
      </w:r>
      <w:bookmarkEnd w:id="100018"/>
    </w:p>
    <w:p>
      <w:pPr>
        <w:pStyle w:val="ListParagraph"/>
        <w:numPr>
          <w:ilvl w:val="0"/>
          <w:numId w:val="1"/>
        </w:numPr>
        <w:spacing w:after="60" w:line="312"/>
      </w:pPr>
      <w:r>
        <w:rPr>
          <w:rFonts w:ascii="Times New Roman" w:eastAsia="Times New Roman"/>
          <w:color w:val="000000"/>
          <w:sz w:val="24"/>
          <w:szCs w:val="24"/>
        </w:rPr>
        <w:t xml:space="preserve">The PCM1 protocol is versioned by its magic; a future incompatible change should introduce a new magic (for example PCM2) rather than mutate the frame layout.</w:t>
      </w:r>
    </w:p>
    <w:p>
      <w:pPr>
        <w:pStyle w:val="ListParagraph"/>
        <w:numPr>
          <w:ilvl w:val="0"/>
          <w:numId w:val="1"/>
        </w:numPr>
        <w:spacing w:after="60" w:line="312"/>
      </w:pPr>
      <w:r>
        <w:rPr>
          <w:rFonts w:ascii="Times New Roman" w:eastAsia="Times New Roman"/>
          <w:color w:val="000000"/>
          <w:sz w:val="24"/>
          <w:szCs w:val="24"/>
        </w:rPr>
        <w:t xml:space="preserve">The JSON event set is open: the Rust relay ignores unknown types, so new sidecar events can be introduced without a coordinated Rust release, but relaying them to the UI requires a mapping entry.</w:t>
      </w:r>
    </w:p>
    <w:p>
      <w:pPr>
        <w:pStyle w:val="ListParagraph"/>
        <w:numPr>
          <w:ilvl w:val="0"/>
          <w:numId w:val="1"/>
        </w:numPr>
        <w:spacing w:after="60" w:line="312"/>
      </w:pPr>
      <w:r>
        <w:rPr>
          <w:rFonts w:ascii="Times New Roman" w:eastAsia="Times New Roman"/>
          <w:color w:val="000000"/>
          <w:sz w:val="24"/>
          <w:szCs w:val="24"/>
        </w:rPr>
        <w:t xml:space="preserve">The database schema is additive-safe: new artifact types should be added as new tables keyed to meetings rather than by altering existing columns.</w:t>
      </w:r>
    </w:p>
    <w:p>
      <w:pPr>
        <w:pStyle w:val="ListParagraph"/>
        <w:numPr>
          <w:ilvl w:val="0"/>
          <w:numId w:val="1"/>
        </w:numPr>
        <w:spacing w:after="60" w:line="312"/>
      </w:pPr>
      <w:r>
        <w:rPr>
          <w:rFonts w:ascii="Times New Roman" w:eastAsia="Times New Roman"/>
          <w:color w:val="000000"/>
          <w:sz w:val="24"/>
          <w:szCs w:val="24"/>
        </w:rPr>
        <w:t xml:space="preserve">Vendor abstraction: the AssemblyAI and Gemini integrations are direct SDK calls with no adapter layer. Introducing provider-neutral interfaces would be a prerequisite for vendor failover.</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2" w:space="4"/>
      </w:pBdr>
      <w:jc w:val="right"/>
    </w:pPr>
    <w:r>
      <w:rPr>
        <w:rFonts w:ascii="Times New Roman" w:eastAsia="Times New Roman"/>
        <w:color w:val="A0A0A0"/>
        <w:sz w:val="16"/>
        <w:szCs w:val="16"/>
      </w:rPr>
      <w:t xml:space="preserve">Data Architecture and Interface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000000"/>
      <w:sz w:val="32"/>
      <w:szCs w:val="32"/>
    </w:rPr>
  </w:style>
  <w:style w:type="paragraph" w:styleId="Heading2">
    <w:name w:val="Heading 2"/>
    <w:basedOn w:val="Normal"/>
    <w:next w:val="Normal"/>
    <w:qFormat/>
    <w:pPr>
      <w:spacing w:after="120" w:before="280" w:line="312"/>
      <w:outlineLvl w:val="1"/>
    </w:pPr>
    <w:rPr>
      <w:rFonts w:ascii="Times New Roman" w:eastAsia="Times New Roman"/>
      <w:b/>
      <w:bCs/>
      <w:color w:val="000000"/>
      <w:sz w:val="28"/>
      <w:szCs w:val="28"/>
    </w:rPr>
  </w:style>
  <w:style w:type="paragraph" w:styleId="Heading3">
    <w:name w:val="Heading 3"/>
    <w:basedOn w:val="Normal"/>
    <w:next w:val="Normal"/>
    <w:qFormat/>
    <w:pPr>
      <w:spacing w:after="100" w:before="240" w:line="312"/>
      <w:outlineLvl w:val="2"/>
    </w:pPr>
    <w:rPr>
      <w:rFonts w:ascii="Times New Roman" w:eastAsia="Times New Roman"/>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Architecture and Interface Specification</dc:title>
  <dc:creator>Technology Advisory Practice</dc:creator>
  <cp:lastModifiedBy>Un-named</cp:lastModifiedBy>
  <cp:revision>1</cp:revision>
  <dcterms:created xsi:type="dcterms:W3CDTF">2026-08-18T04:50:54.212Z</dcterms:created>
  <dcterms:modified xsi:type="dcterms:W3CDTF">2026-08-18T04:50:54.212Z</dcterms:modified>
</cp:coreProperties>
</file>

<file path=docProps/custom.xml><?xml version="1.0" encoding="utf-8"?>
<Properties xmlns="http://schemas.openxmlformats.org/officeDocument/2006/custom-properties" xmlns:vt="http://schemas.openxmlformats.org/officeDocument/2006/docPropsVTypes"/>
</file>