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3F1ED" w:val="clear"/>
            <w:vAlign w:val="top"/>
          </w:tcPr>
          <w:p>
            <w:pPr>
              <w:spacing w:before="4745"/>
            </w:pPr>
          </w:p>
          <w:p>
            <w:pPr>
              <w:pBdr>
                <w:bottom w:val="single" w:color="D6C096" w:sz="6" w:space="8"/>
              </w:pBdr>
              <w:spacing w:after="500"/>
              <w:ind w:left="1200" w:right="800"/>
            </w:pPr>
            <w:r>
              <w:rPr>
                <w:rFonts w:ascii="Times New Roman" w:eastAsia="Times New Roman"/>
                <w:color w:val="9A8455"/>
                <w:spacing w:val="40"/>
                <w:sz w:val="18"/>
                <w:szCs w:val="18"/>
              </w:rPr>
              <w:t xml:space="preserve">T  E  C  H  N  O  L  O  G  Y     A  D  V  I  S  O  R  Y</w:t>
            </w:r>
          </w:p>
          <w:p>
            <w:pPr>
              <w:spacing w:after="300" w:line="920" w:lineRule="atLeast"/>
              <w:ind w:left="1200"/>
            </w:pPr>
            <w:r>
              <w:rPr>
                <w:rFonts w:ascii="Times New Roman" w:eastAsia="Times New Roman"/>
                <w:b/>
                <w:bCs/>
                <w:color w:val="000000"/>
                <w:sz w:val="80"/>
                <w:szCs w:val="80"/>
              </w:rPr>
              <w:t xml:space="preserve">Security Assessment</w:t>
            </w:r>
          </w:p>
          <w:p>
            <w:pPr>
              <w:spacing w:after="800"/>
              <w:ind w:left="1200"/>
            </w:pPr>
            <w:r>
              <w:rPr>
                <w:rFonts w:ascii="Times New Roman" w:eastAsia="Times New Roman"/>
                <w:color w:val="606060"/>
                <w:sz w:val="24"/>
                <w:szCs w:val="24"/>
              </w:rPr>
              <w:t xml:space="preserve">AI Meeting Interpreter — Findings and Remediation</w:t>
            </w:r>
          </w:p>
          <w:p>
            <w:pPr>
              <w:pBdr>
                <w:left w:val="single" w:color="D6C096" w:sz="8" w:space="12"/>
              </w:pBdr>
              <w:spacing w:after="80"/>
              <w:ind w:left="1400"/>
            </w:pPr>
            <w:r>
              <w:rPr>
                <w:rFonts w:ascii="Times New Roman" w:eastAsia="Times New Roman"/>
                <w:color w:val="707070"/>
                <w:sz w:val="24"/>
                <w:szCs w:val="24"/>
              </w:rPr>
              <w:t xml:space="preserve">Document AMI-SEC-006  ·  Version 1.0</w:t>
            </w:r>
          </w:p>
          <w:p>
            <w:pPr>
              <w:pBdr>
                <w:left w:val="single" w:color="D6C096" w:sz="8" w:space="12"/>
              </w:pBdr>
              <w:spacing w:after="80"/>
              <w:ind w:left="1400"/>
            </w:pPr>
            <w:r>
              <w:rPr>
                <w:rFonts w:ascii="Times New Roman" w:eastAsia="Times New Roman"/>
                <w:color w:val="707070"/>
                <w:sz w:val="24"/>
                <w:szCs w:val="24"/>
              </w:rPr>
              <w:t xml:space="preserve">Date of issue: 18 August 2026</w:t>
            </w:r>
          </w:p>
          <w:p>
            <w:pPr>
              <w:pBdr>
                <w:left w:val="single" w:color="D6C096" w:sz="8" w:space="12"/>
              </w:pBdr>
              <w:spacing w:after="80"/>
              <w:ind w:left="1400"/>
            </w:pPr>
            <w:r>
              <w:rPr>
                <w:rFonts w:ascii="Times New Roman" w:eastAsia="Times New Roman"/>
                <w:color w:val="707070"/>
                <w:sz w:val="24"/>
                <w:szCs w:val="24"/>
              </w:rPr>
              <w:t xml:space="preserve">Classification: Restricted Distribution</w:t>
            </w:r>
          </w:p>
          <w:p>
            <w:pPr>
              <w:spacing w:before="4745"/>
            </w:pPr>
          </w:p>
          <w:p>
            <w:pPr>
              <w:pBdr>
                <w:top w:val="single" w:color="D6C096" w:sz="2" w:space="8"/>
              </w:pBdr>
              <w:spacing w:before="200"/>
              <w:ind w:left="1200" w:right="800"/>
            </w:pPr>
            <w:r>
              <w:rPr>
                <w:rFonts w:ascii="Times New Roman" w:eastAsia="Times New Roman"/>
                <w:color w:val="A0A0A0"/>
                <w:sz w:val="16"/>
                <w:szCs w:val="16"/>
              </w:rPr>
              <w:t xml:space="preserve">AI Meeting Interpreter</w:t>
            </w:r>
            <w:r>
              <w:t xml:space="preserve">                                                        </w:t>
            </w:r>
            <w:r>
              <w:rPr>
                <w:rFonts w:ascii="Times New Roman" w:eastAsia="Times New Roman"/>
                <w:color w:val="A0A0A0"/>
                <w:sz w:val="16"/>
                <w:szCs w:val="16"/>
              </w:rPr>
              <w:t xml:space="preserve">18 August 2026</w:t>
            </w:r>
          </w:p>
        </w:tc>
      </w:tr>
    </w:tbl>
    <w:p>
      <w:pPr>
        <w:sectPr>
          <w:pgSz w:w="11906" w:h="16838" w:orient="portrait"/>
          <w:pgMar w:top="0" w:right="0" w:bottom="0" w:left="0" w:header="708" w:footer="708" w:gutter="0"/>
          <w:docGrid w:linePitch="360"/>
        </w:sectPr>
      </w:pPr>
    </w:p>
    <w:p>
      <w:pPr>
        <w:spacing w:after="240" w:before="120" w:line="312"/>
        <w:jc w:val="left"/>
      </w:pPr>
      <w:r>
        <w:rPr>
          <w:rFonts w:ascii="Times New Roman" w:eastAsia="Times New Roman"/>
          <w:b/>
          <w:bCs/>
          <w:color w:val="000000"/>
          <w:sz w:val="32"/>
          <w:szCs w:val="32"/>
        </w:rPr>
        <w:t xml:space="preserve">Document Control</w:t>
      </w:r>
    </w:p>
    <w:p>
      <w:pPr>
        <w:spacing w:after="120" w:line="312"/>
      </w:pPr>
      <w:r>
        <w:rPr>
          <w:rFonts w:ascii="Times New Roman" w:eastAsia="Times New Roman"/>
          <w:color w:val="404040"/>
          <w:sz w:val="22"/>
          <w:szCs w:val="22"/>
        </w:rPr>
        <w:t xml:space="preserve">The following table records the ownership, status and classification of this document.</w:t>
      </w:r>
    </w:p>
    <w:tbl>
      <w:tblPr>
        <w:tblW w:type="pct" w:w="100%"/>
        <w:tblBorders>
          <w:top w:val="single" w:color="000000" w:sz="2"/>
          <w:left w:val="none"/>
          <w:bottom w:val="single" w:color="000000" w:sz="2"/>
          <w:right w:val="none"/>
          <w:insideH w:val="single" w:color="DDD8CC" w:sz="1"/>
          <w:insideV w:val="none"/>
        </w:tblBorders>
      </w:tblPr>
      <w:tblGrid>
        <w:gridCol w:w="100"/>
        <w:gridCol w:w="100"/>
      </w:tblGrid>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Document Title</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Security Assessment</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Document Identifier</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AMI-SEC-006</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Version</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1.0</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Status</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Issued</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Date of Issue</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2026-08-18</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Prepared By</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Technology Advisory Practice</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Client / Engagement</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AI Meeting Interpreter — Independent Technology Review</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Classification</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Confidential — Restricted Distribution</w:t>
            </w:r>
          </w:p>
        </w:tc>
      </w:tr>
    </w:tbl>
    <w:p>
      <w:pPr>
        <w:spacing w:after="160" w:before="160"/>
      </w:pPr>
    </w:p>
    <w:p>
      <w:pPr>
        <w:spacing w:after="80" w:before="120" w:line="312"/>
      </w:pPr>
      <w:r>
        <w:rPr>
          <w:rFonts w:ascii="Times New Roman" w:eastAsia="Times New Roman"/>
          <w:b/>
          <w:bCs/>
          <w:color w:val="000000"/>
          <w:sz w:val="24"/>
          <w:szCs w:val="24"/>
        </w:rPr>
        <w:t xml:space="preserve">Version History</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1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Version</w:t>
            </w:r>
          </w:p>
        </w:tc>
        <w:tc>
          <w:tcPr>
            <w:tcW w:type="pct" w:w="1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Date</w:t>
            </w:r>
          </w:p>
        </w:tc>
        <w:tc>
          <w:tcPr>
            <w:tcW w:type="pct" w:w="2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Author</w:t>
            </w:r>
          </w:p>
        </w:tc>
        <w:tc>
          <w:tcPr>
            <w:tcW w:type="pct" w:w="4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Description of Change</w:t>
            </w:r>
          </w:p>
        </w:tc>
      </w:tr>
      <w:tr>
        <w:trPr>
          <w:cantSplit/>
        </w:trPr>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0.1</w:t>
            </w:r>
          </w:p>
        </w:tc>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2026-08-18</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Technology Advisory</w:t>
            </w:r>
          </w:p>
        </w:tc>
        <w:tc>
          <w:tcPr>
            <w:tcW w:type="pct" w:w="48%"/>
            <w:tcMar>
              <w:top w:type="dxa" w:w="60"/>
              <w:left w:type="dxa" w:w="120"/>
              <w:bottom w:type="dxa" w:w="60"/>
              <w:right w:type="dxa" w:w="120"/>
            </w:tcMar>
          </w:tcPr>
          <w:p>
            <w:pPr>
              <w:spacing w:after="0" w:line="312"/>
            </w:pPr>
            <w:r>
              <w:rPr>
                <w:rFonts w:ascii="Times New Roman" w:eastAsia="Times New Roman"/>
                <w:color w:val="000000"/>
                <w:sz w:val="21"/>
                <w:szCs w:val="21"/>
              </w:rPr>
              <w:t xml:space="preserve">Initial working draft produced from repository inspection.</w:t>
            </w:r>
          </w:p>
        </w:tc>
      </w:tr>
      <w:tr>
        <w:trPr>
          <w:cantSplit/>
        </w:trPr>
        <w:tc>
          <w:tcPr>
            <w:tcW w:type="pct" w:w="1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1.0</w:t>
            </w:r>
          </w:p>
        </w:tc>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2026-08-18</w:t>
            </w:r>
          </w:p>
        </w:tc>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Technology Advisory</w:t>
            </w:r>
          </w:p>
        </w:tc>
        <w:tc>
          <w:tcPr>
            <w:tcW w:type="pct" w:w="4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First issued version for client review.</w:t>
            </w:r>
          </w:p>
        </w:tc>
      </w:tr>
    </w:tbl>
    <w:p>
      <w:pPr>
        <w:spacing w:after="160" w:before="160"/>
      </w:pPr>
    </w:p>
    <w:p>
      <w:pPr>
        <w:spacing w:after="80" w:before="120" w:line="312"/>
      </w:pPr>
      <w:r>
        <w:rPr>
          <w:rFonts w:ascii="Times New Roman" w:eastAsia="Times New Roman"/>
          <w:b/>
          <w:bCs/>
          <w:color w:val="000000"/>
          <w:sz w:val="24"/>
          <w:szCs w:val="24"/>
        </w:rPr>
        <w:t xml:space="preserve">Distribution &amp; Approval</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2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Name</w:t>
            </w:r>
          </w:p>
        </w:tc>
        <w:tc>
          <w:tcPr>
            <w:tcW w:type="pct" w:w="2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Role</w:t>
            </w:r>
          </w:p>
        </w:tc>
        <w:tc>
          <w:tcPr>
            <w:tcW w:type="pct" w:w="2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Action</w:t>
            </w:r>
          </w:p>
        </w:tc>
        <w:tc>
          <w:tcPr>
            <w:tcW w:type="pct" w:w="2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Date</w:t>
            </w:r>
          </w:p>
        </w:tc>
      </w:tr>
      <w:tr>
        <w:trPr>
          <w:cantSplit/>
        </w:trPr>
        <w:tc>
          <w:tcPr>
            <w:tcW w:type="pct" w:w="28%"/>
            <w:tcMar>
              <w:top w:type="dxa" w:w="60"/>
              <w:left w:type="dxa" w:w="120"/>
              <w:bottom w:type="dxa" w:w="60"/>
              <w:right w:type="dxa" w:w="120"/>
            </w:tcMar>
          </w:tcPr>
          <w:p>
            <w:pPr>
              <w:spacing w:after="0" w:line="312"/>
            </w:pPr>
            <w:r>
              <w:rPr>
                <w:rFonts w:ascii="Times New Roman" w:eastAsia="Times New Roman"/>
                <w:color w:val="000000"/>
                <w:sz w:val="21"/>
                <w:szCs w:val="21"/>
              </w:rPr>
              <w:t xml:space="preserve">【Client Sponsor】</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Product Owner</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Approve</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【____/____/____】</w:t>
            </w:r>
          </w:p>
        </w:tc>
      </w:tr>
      <w:tr>
        <w:trPr>
          <w:cantSplit/>
        </w:trPr>
        <w:tc>
          <w:tcPr>
            <w:tcW w:type="pct" w:w="2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【Engineering Lead】</w:t>
            </w:r>
          </w:p>
        </w:tc>
        <w:tc>
          <w:tcPr>
            <w:tcW w:type="pct" w:w="2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Technical Authority</w:t>
            </w:r>
          </w:p>
        </w:tc>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Review</w:t>
            </w:r>
          </w:p>
        </w:tc>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【____/____/____】</w:t>
            </w:r>
          </w:p>
        </w:tc>
      </w:tr>
      <w:tr>
        <w:trPr>
          <w:cantSplit/>
        </w:trPr>
        <w:tc>
          <w:tcPr>
            <w:tcW w:type="pct" w:w="28%"/>
            <w:tcMar>
              <w:top w:type="dxa" w:w="60"/>
              <w:left w:type="dxa" w:w="120"/>
              <w:bottom w:type="dxa" w:w="60"/>
              <w:right w:type="dxa" w:w="120"/>
            </w:tcMar>
          </w:tcPr>
          <w:p>
            <w:pPr>
              <w:spacing w:after="0" w:line="312"/>
            </w:pPr>
            <w:r>
              <w:rPr>
                <w:rFonts w:ascii="Times New Roman" w:eastAsia="Times New Roman"/>
                <w:color w:val="000000"/>
                <w:sz w:val="21"/>
                <w:szCs w:val="21"/>
              </w:rPr>
              <w:t xml:space="preserve">【Security Officer】</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Information Security</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Review</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【____/____/____】</w:t>
            </w:r>
          </w:p>
        </w:tc>
      </w:tr>
    </w:tbl>
    <w:p>
      <w:pPr>
        <w:pageBreakBefore/>
        <w:spacing w:after="360" w:before="240" w:line="312"/>
        <w:jc w:val="center"/>
      </w:pPr>
      <w:r>
        <w:rPr>
          <w:rFonts w:ascii="Times New Roman" w:eastAsia="Times New Roman"/>
          <w:b/>
          <w:bCs/>
          <w:color w:val="00000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 of Findings</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Scope and Method</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Findings Register</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Detailed Findings</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4.1 F-01 — Committed Secrets (Critical)</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4.2 F-03 — Webview Security Posture (High)</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4.3 F-04 — Meeting Audio Privacy (High)</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4.4 F-05 — HTML Injection Surface (Medium)</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4.5 F-06/F-07 — Supply Chain and Prompt Surface (Medium/Low)</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5. Positive Security Observations</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6. Remediation Roadmap</w:t>
            </w:r>
            <w:r>
              <w:tab/>
            </w:r>
            <w:r>
              <w:fldChar w:fldCharType="begin"/>
            </w:r>
            <w:r>
              <w:instrText xml:space="preserve"> PAGEREF _Toc100010 \h </w:instrText>
            </w:r>
            <w:r>
              <w:fldChar w:fldCharType="separate"/>
            </w:r>
            <w:r>
              <w:t>6</w:t>
            </w:r>
            <w:r>
              <w:fldChar w:fldCharType="end"/>
            </w:r>
          </w:hyperlink>
        </w:p>
        <w:p>
          <w:r>
            <w:fldChar w:fldCharType="end"/>
          </w:r>
        </w:p>
      </w:sdtContent>
    </w:sdt>
    <w:p>
      <w:pPr>
        <w:spacing w:before="200" w:line="312"/>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pPr>
      <w:bookmarkStart w:id="100000" w:name="_Toc100000"/>
      <w:r>
        <w:t xml:space="preserve">1. Executive Summary of Findings</w:t>
      </w:r>
      <w:bookmarkEnd w:id="100000"/>
    </w:p>
    <w:p>
      <w:pPr>
        <w:spacing w:after="120" w:line="312"/>
        <w:jc w:val="both"/>
      </w:pPr>
      <w:r>
        <w:rPr>
          <w:rFonts w:ascii="Times New Roman" w:eastAsia="Times New Roman"/>
          <w:color w:val="000000"/>
          <w:sz w:val="24"/>
          <w:szCs w:val="24"/>
        </w:rPr>
        <w:t xml:space="preserve">This Security Assessment reports the findings of a static review of the AI Meeting Interpreter repository. The review examined secrets management, application configuration, dependency posture, data handling and the product's inherent audio-capture privacy implications. Dynamic testing was out of scope.</w:t>
      </w:r>
    </w:p>
    <w:p>
      <w:pPr>
        <w:spacing w:after="120" w:line="312"/>
        <w:jc w:val="both"/>
      </w:pPr>
      <w:r>
        <w:rPr>
          <w:rFonts w:ascii="Times New Roman" w:eastAsia="Times New Roman"/>
          <w:color w:val="000000"/>
          <w:sz w:val="24"/>
          <w:szCs w:val="24"/>
        </w:rPr>
        <w:t xml:space="preserve">One finding is rated Critical: live third-party API keys are committed to the repository in plaintext and must be treated as compromised. Three findings are rated High, relating to the disabled Content Security Policy, the absence of any privacy/consent controls around meeting recording, and the innerHTML rendering of AI-generated content. The overall posture is typical of an early-stage prototype, but the Critical finding requires action before any further sharing of the repository.</w:t>
      </w:r>
    </w:p>
    <w:p>
      <w:pPr>
        <w:pStyle w:val="Heading1"/>
      </w:pPr>
      <w:bookmarkStart w:id="100001" w:name="_Toc100001"/>
      <w:r>
        <w:t xml:space="preserve">2. Scope and Method</w:t>
      </w:r>
      <w:bookmarkEnd w:id="100001"/>
    </w:p>
    <w:p>
      <w:pPr>
        <w:spacing w:after="120" w:line="312"/>
        <w:jc w:val="both"/>
      </w:pPr>
      <w:r>
        <w:rPr>
          <w:rFonts w:ascii="Times New Roman" w:eastAsia="Times New Roman"/>
          <w:color w:val="000000"/>
          <w:sz w:val="24"/>
          <w:szCs w:val="24"/>
        </w:rPr>
        <w:t xml:space="preserve">The assessment method was manual inspection of all source files, configuration files, dependency manifests and the version-control-visible tree, assessed against a pragmatic baseline for a desktop application handling audio and third-party credentials: secrets hygiene, webview security, input validation, dependency exposure and data privacy. The repository is distributed as source without git history in the reviewed copy; findings about history refer to the files as delivered.</w:t>
      </w:r>
    </w:p>
    <w:p>
      <w:pPr>
        <w:pStyle w:val="Heading1"/>
      </w:pPr>
      <w:bookmarkStart w:id="100002" w:name="_Toc100002"/>
      <w:r>
        <w:t xml:space="preserve">3. Findings Register</w:t>
      </w:r>
      <w:bookmarkEnd w:id="100002"/>
    </w:p>
    <w:p>
      <w:pPr>
        <w:keepNext/>
        <w:spacing w:after="80" w:before="200" w:line="312"/>
      </w:pPr>
      <w:r>
        <w:rPr>
          <w:rFonts w:ascii="Times New Roman" w:eastAsia="Times New Roman"/>
          <w:b/>
          <w:bCs/>
          <w:color w:val="404040"/>
          <w:sz w:val="21"/>
          <w:szCs w:val="21"/>
        </w:rPr>
        <w:t xml:space="preserve">Table 20 — Findings Register</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gridCol w:w="100"/>
      </w:tblGrid>
      <w:tr>
        <w:trPr>
          <w:cantSplit/>
          <w:tblHeader/>
        </w:trPr>
        <w:tc>
          <w:tcPr>
            <w:tcW w:type="pct" w:w="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ID</w:t>
            </w:r>
          </w:p>
        </w:tc>
        <w:tc>
          <w:tcPr>
            <w:tcW w:type="pct" w:w="4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Finding</w:t>
            </w:r>
          </w:p>
        </w:tc>
        <w:tc>
          <w:tcPr>
            <w:tcW w:type="pct" w:w="1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Severity</w:t>
            </w:r>
          </w:p>
        </w:tc>
        <w:tc>
          <w:tcPr>
            <w:tcW w:type="pct" w:w="1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Likelihood</w:t>
            </w:r>
          </w:p>
        </w:tc>
        <w:tc>
          <w:tcPr>
            <w:tcW w:type="pct" w:w="2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Impact</w:t>
            </w:r>
          </w:p>
        </w:tc>
      </w:tr>
      <w:tr>
        <w:trPr>
          <w:cantSplit/>
        </w:trPr>
        <w:tc>
          <w:tcPr>
            <w:tcW w:type="pct" w:w="8%"/>
            <w:tcMar>
              <w:top w:type="dxa" w:w="60"/>
              <w:left w:type="dxa" w:w="120"/>
              <w:bottom w:type="dxa" w:w="60"/>
              <w:right w:type="dxa" w:w="120"/>
            </w:tcMar>
          </w:tcPr>
          <w:p>
            <w:pPr>
              <w:spacing w:after="0" w:line="312"/>
            </w:pPr>
            <w:r>
              <w:rPr>
                <w:rFonts w:ascii="Times New Roman" w:eastAsia="Times New Roman"/>
                <w:color w:val="000000"/>
                <w:sz w:val="21"/>
                <w:szCs w:val="21"/>
              </w:rPr>
              <w:t xml:space="preserve">F-01</w:t>
            </w:r>
          </w:p>
        </w:tc>
        <w:tc>
          <w:tcPr>
            <w:tcW w:type="pct" w:w="42%"/>
            <w:tcMar>
              <w:top w:type="dxa" w:w="60"/>
              <w:left w:type="dxa" w:w="120"/>
              <w:bottom w:type="dxa" w:w="60"/>
              <w:right w:type="dxa" w:w="120"/>
            </w:tcMar>
          </w:tcPr>
          <w:p>
            <w:pPr>
              <w:spacing w:after="0" w:line="312"/>
            </w:pPr>
            <w:r>
              <w:rPr>
                <w:rFonts w:ascii="Times New Roman" w:eastAsia="Times New Roman"/>
                <w:color w:val="000000"/>
                <w:sz w:val="21"/>
                <w:szCs w:val="21"/>
              </w:rPr>
              <w:t xml:space="preserve">Hardcoded API keys and database password committed in test files</w:t>
            </w:r>
          </w:p>
        </w:tc>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Critical</w:t>
            </w:r>
          </w:p>
        </w:tc>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Certain (already exposed)</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Account abuse, billable misuse, data exfiltration via vendor accounts</w:t>
            </w:r>
          </w:p>
        </w:tc>
      </w:tr>
      <w:tr>
        <w:trPr>
          <w:cantSplit/>
        </w:trPr>
        <w:tc>
          <w:tcPr>
            <w:tcW w:type="pct" w:w="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F-02</w:t>
            </w:r>
          </w:p>
        </w:tc>
        <w:tc>
          <w:tcPr>
            <w:tcW w:type="pct" w:w="4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No automated testing or secret scanning in the delivery pipeline</w:t>
            </w:r>
          </w:p>
        </w:tc>
        <w:tc>
          <w:tcPr>
            <w:tcW w:type="pct" w:w="1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High</w:t>
            </w:r>
          </w:p>
        </w:tc>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Likely over time</w:t>
            </w:r>
          </w:p>
        </w:tc>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Regression of security fixes; reintroduction of secrets</w:t>
            </w:r>
          </w:p>
        </w:tc>
      </w:tr>
      <w:tr>
        <w:trPr>
          <w:cantSplit/>
        </w:trPr>
        <w:tc>
          <w:tcPr>
            <w:tcW w:type="pct" w:w="8%"/>
            <w:tcMar>
              <w:top w:type="dxa" w:w="60"/>
              <w:left w:type="dxa" w:w="120"/>
              <w:bottom w:type="dxa" w:w="60"/>
              <w:right w:type="dxa" w:w="120"/>
            </w:tcMar>
          </w:tcPr>
          <w:p>
            <w:pPr>
              <w:spacing w:after="0" w:line="312"/>
            </w:pPr>
            <w:r>
              <w:rPr>
                <w:rFonts w:ascii="Times New Roman" w:eastAsia="Times New Roman"/>
                <w:color w:val="000000"/>
                <w:sz w:val="21"/>
                <w:szCs w:val="21"/>
              </w:rPr>
              <w:t xml:space="preserve">F-03</w:t>
            </w:r>
          </w:p>
        </w:tc>
        <w:tc>
          <w:tcPr>
            <w:tcW w:type="pct" w:w="42%"/>
            <w:tcMar>
              <w:top w:type="dxa" w:w="60"/>
              <w:left w:type="dxa" w:w="120"/>
              <w:bottom w:type="dxa" w:w="60"/>
              <w:right w:type="dxa" w:w="120"/>
            </w:tcMar>
          </w:tcPr>
          <w:p>
            <w:pPr>
              <w:spacing w:after="0" w:line="312"/>
            </w:pPr>
            <w:r>
              <w:rPr>
                <w:rFonts w:ascii="Times New Roman" w:eastAsia="Times New Roman"/>
                <w:color w:val="000000"/>
                <w:sz w:val="21"/>
                <w:szCs w:val="21"/>
              </w:rPr>
              <w:t xml:space="preserve">Content Security Policy disabled (csp: null) with withGlobalTauri enabled</w:t>
            </w:r>
          </w:p>
        </w:tc>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High</w:t>
            </w:r>
          </w:p>
        </w:tc>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Possible if content injection occurs</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Script injection in the webview could invoke native IPC commands</w:t>
            </w:r>
          </w:p>
        </w:tc>
      </w:tr>
      <w:tr>
        <w:trPr>
          <w:cantSplit/>
        </w:trPr>
        <w:tc>
          <w:tcPr>
            <w:tcW w:type="pct" w:w="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F-04</w:t>
            </w:r>
          </w:p>
        </w:tc>
        <w:tc>
          <w:tcPr>
            <w:tcW w:type="pct" w:w="4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No consent, disclosure or retention controls for meeting audio capture</w:t>
            </w:r>
          </w:p>
        </w:tc>
        <w:tc>
          <w:tcPr>
            <w:tcW w:type="pct" w:w="1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High</w:t>
            </w:r>
          </w:p>
        </w:tc>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Certain in use</w:t>
            </w:r>
          </w:p>
        </w:tc>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Regulatory exposure (wiretap/GDPR-type obligations), reputational harm</w:t>
            </w:r>
          </w:p>
        </w:tc>
      </w:tr>
      <w:tr>
        <w:trPr>
          <w:cantSplit/>
        </w:trPr>
        <w:tc>
          <w:tcPr>
            <w:tcW w:type="pct" w:w="8%"/>
            <w:tcMar>
              <w:top w:type="dxa" w:w="60"/>
              <w:left w:type="dxa" w:w="120"/>
              <w:bottom w:type="dxa" w:w="60"/>
              <w:right w:type="dxa" w:w="120"/>
            </w:tcMar>
          </w:tcPr>
          <w:p>
            <w:pPr>
              <w:spacing w:after="0" w:line="312"/>
            </w:pPr>
            <w:r>
              <w:rPr>
                <w:rFonts w:ascii="Times New Roman" w:eastAsia="Times New Roman"/>
                <w:color w:val="000000"/>
                <w:sz w:val="21"/>
                <w:szCs w:val="21"/>
              </w:rPr>
              <w:t xml:space="preserve">F-05</w:t>
            </w:r>
          </w:p>
        </w:tc>
        <w:tc>
          <w:tcPr>
            <w:tcW w:type="pct" w:w="42%"/>
            <w:tcMar>
              <w:top w:type="dxa" w:w="60"/>
              <w:left w:type="dxa" w:w="120"/>
              <w:bottom w:type="dxa" w:w="60"/>
              <w:right w:type="dxa" w:w="120"/>
            </w:tcMar>
          </w:tcPr>
          <w:p>
            <w:pPr>
              <w:spacing w:after="0" w:line="312"/>
            </w:pPr>
            <w:r>
              <w:rPr>
                <w:rFonts w:ascii="Times New Roman" w:eastAsia="Times New Roman"/>
                <w:color w:val="000000"/>
                <w:sz w:val="21"/>
                <w:szCs w:val="21"/>
              </w:rPr>
              <w:t xml:space="preserve">innerHTML rendering of transcript and AI-generated text</w:t>
            </w:r>
          </w:p>
        </w:tc>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Medium</w:t>
            </w:r>
          </w:p>
        </w:tc>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Low (content originates from trusted vendors)</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Stored/reflected XSS within the webview</w:t>
            </w:r>
          </w:p>
        </w:tc>
      </w:tr>
      <w:tr>
        <w:trPr>
          <w:cantSplit/>
        </w:trPr>
        <w:tc>
          <w:tcPr>
            <w:tcW w:type="pct" w:w="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F-06</w:t>
            </w:r>
          </w:p>
        </w:tc>
        <w:tc>
          <w:tcPr>
            <w:tcW w:type="pct" w:w="4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Missing dependency lockfile for the gateway (root has one; gateway does not)</w:t>
            </w:r>
          </w:p>
        </w:tc>
        <w:tc>
          <w:tcPr>
            <w:tcW w:type="pct" w:w="1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Medium</w:t>
            </w:r>
          </w:p>
        </w:tc>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Moderate</w:t>
            </w:r>
          </w:p>
        </w:tc>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Non-reproducible builds; supply-chain drift</w:t>
            </w:r>
          </w:p>
        </w:tc>
      </w:tr>
      <w:tr>
        <w:trPr>
          <w:cantSplit/>
        </w:trPr>
        <w:tc>
          <w:tcPr>
            <w:tcW w:type="pct" w:w="8%"/>
            <w:tcMar>
              <w:top w:type="dxa" w:w="60"/>
              <w:left w:type="dxa" w:w="120"/>
              <w:bottom w:type="dxa" w:w="60"/>
              <w:right w:type="dxa" w:w="120"/>
            </w:tcMar>
          </w:tcPr>
          <w:p>
            <w:pPr>
              <w:spacing w:after="0" w:line="312"/>
            </w:pPr>
            <w:r>
              <w:rPr>
                <w:rFonts w:ascii="Times New Roman" w:eastAsia="Times New Roman"/>
                <w:color w:val="000000"/>
                <w:sz w:val="21"/>
                <w:szCs w:val="21"/>
              </w:rPr>
              <w:t xml:space="preserve">F-07</w:t>
            </w:r>
          </w:p>
        </w:tc>
        <w:tc>
          <w:tcPr>
            <w:tcW w:type="pct" w:w="42%"/>
            <w:tcMar>
              <w:top w:type="dxa" w:w="60"/>
              <w:left w:type="dxa" w:w="120"/>
              <w:bottom w:type="dxa" w:w="60"/>
              <w:right w:type="dxa" w:w="120"/>
            </w:tcMar>
          </w:tcPr>
          <w:p>
            <w:pPr>
              <w:spacing w:after="0" w:line="312"/>
            </w:pPr>
            <w:r>
              <w:rPr>
                <w:rFonts w:ascii="Times New Roman" w:eastAsia="Times New Roman"/>
                <w:color w:val="000000"/>
                <w:sz w:val="21"/>
                <w:szCs w:val="21"/>
              </w:rPr>
              <w:t xml:space="preserve">No input length limits on LLM-bound transcript chunks</w:t>
            </w:r>
          </w:p>
        </w:tc>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Low</w:t>
            </w:r>
          </w:p>
        </w:tc>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Low</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Cost amplification and prompt-injection surface</w:t>
            </w:r>
          </w:p>
        </w:tc>
      </w:tr>
    </w:tbl>
    <w:p>
      <w:pPr>
        <w:pStyle w:val="Heading1"/>
      </w:pPr>
      <w:bookmarkStart w:id="100003" w:name="_Toc100003"/>
      <w:r>
        <w:t xml:space="preserve">4. Detailed Findings</w:t>
      </w:r>
      <w:bookmarkEnd w:id="100003"/>
    </w:p>
    <w:p>
      <w:pPr>
        <w:pStyle w:val="Heading2"/>
      </w:pPr>
      <w:bookmarkStart w:id="100004" w:name="_Toc100004"/>
      <w:r>
        <w:t xml:space="preserve">4.1 F-01 — Committed Secrets (Critical)</w:t>
      </w:r>
      <w:bookmarkEnd w:id="100004"/>
    </w:p>
    <w:p>
      <w:pPr>
        <w:spacing w:after="120" w:line="312"/>
        <w:jc w:val="both"/>
      </w:pPr>
      <w:r>
        <w:rPr>
          <w:rFonts w:ascii="Times New Roman" w:eastAsia="Times New Roman"/>
          <w:color w:val="000000"/>
          <w:sz w:val="24"/>
          <w:szCs w:val="24"/>
        </w:rPr>
        <w:t xml:space="preserve">Three files contain the same live AssemblyAI API key in plaintext, together with a Gemini API key and a local database password:</w:t>
      </w:r>
    </w:p>
    <w:p>
      <w:pPr>
        <w:keepNext/>
        <w:spacing w:after="80" w:before="200" w:line="312"/>
      </w:pPr>
      <w:r>
        <w:rPr>
          <w:rFonts w:ascii="Times New Roman" w:eastAsia="Times New Roman"/>
          <w:b/>
          <w:bCs/>
          <w:color w:val="404040"/>
          <w:sz w:val="21"/>
          <w:szCs w:val="21"/>
        </w:rPr>
        <w:t xml:space="preserve">Table 21 — Affected Files</w:t>
      </w:r>
    </w:p>
    <w:tbl>
      <w:tblPr>
        <w:tblW w:type="pct" w:w="100%"/>
        <w:tblBorders>
          <w:top w:val="single" w:color="000000" w:sz="2"/>
          <w:left w:val="none"/>
          <w:bottom w:val="single" w:color="000000" w:sz="2"/>
          <w:right w:val="none"/>
          <w:insideH w:val="single" w:color="DDD8CC" w:sz="1"/>
          <w:insideV w:val="none"/>
        </w:tblBorders>
      </w:tblPr>
      <w:tblGrid>
        <w:gridCol w:w="100"/>
        <w:gridCol w:w="100"/>
      </w:tblGrid>
      <w:tr>
        <w:trPr>
          <w:cantSplit/>
          <w:tblHeader/>
        </w:trPr>
        <w:tc>
          <w:tcPr>
            <w:tcW w:type="pct" w:w="50%"/>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File</w:t>
            </w:r>
          </w:p>
        </w:tc>
        <w:tc>
          <w:tcPr>
            <w:tcW w:type="pct" w:w="50%"/>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Secrets Present</w:t>
            </w:r>
          </w:p>
        </w:tc>
      </w:tr>
      <w:tr>
        <w:trPr>
          <w:cantSplit/>
        </w:trPr>
        <w:tc>
          <w:tcPr>
            <w:tcW w:type="pct" w:w="50%"/>
            <w:tcMar>
              <w:top w:type="dxa" w:w="60"/>
              <w:left w:type="dxa" w:w="120"/>
              <w:bottom w:type="dxa" w:w="60"/>
              <w:right w:type="dxa" w:w="120"/>
            </w:tcMar>
          </w:tcPr>
          <w:p>
            <w:pPr>
              <w:spacing w:after="0" w:line="312"/>
            </w:pPr>
            <w:r>
              <w:rPr>
                <w:rFonts w:ascii="Times New Roman" w:eastAsia="Times New Roman"/>
                <w:color w:val="000000"/>
                <w:sz w:val="21"/>
                <w:szCs w:val="21"/>
              </w:rPr>
              <w:t xml:space="preserve">test_sidecar.cjs (repository root)</w:t>
            </w:r>
          </w:p>
        </w:tc>
        <w:tc>
          <w:tcPr>
            <w:tcW w:type="pct" w:w="50%"/>
            <w:tcMar>
              <w:top w:type="dxa" w:w="60"/>
              <w:left w:type="dxa" w:w="120"/>
              <w:bottom w:type="dxa" w:w="60"/>
              <w:right w:type="dxa" w:w="120"/>
            </w:tcMar>
          </w:tcPr>
          <w:p>
            <w:pPr>
              <w:spacing w:after="0" w:line="312"/>
            </w:pPr>
            <w:r>
              <w:rPr>
                <w:rFonts w:ascii="Times New Roman" w:eastAsia="Times New Roman"/>
                <w:color w:val="000000"/>
                <w:sz w:val="21"/>
                <w:szCs w:val="21"/>
              </w:rPr>
              <w:t xml:space="preserve">AssemblyAI key, Gemini key, database password</w:t>
            </w:r>
          </w:p>
        </w:tc>
      </w:tr>
      <w:tr>
        <w:trPr>
          <w:cantSplit/>
        </w:trPr>
        <w:tc>
          <w:tcPr>
            <w:tcW w:type="pct" w:w="5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test_v2.cjs (repository root)</w:t>
            </w:r>
          </w:p>
        </w:tc>
        <w:tc>
          <w:tcPr>
            <w:tcW w:type="pct" w:w="5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AssemblyAI key</w:t>
            </w:r>
          </w:p>
        </w:tc>
      </w:tr>
      <w:tr>
        <w:trPr>
          <w:cantSplit/>
        </w:trPr>
        <w:tc>
          <w:tcPr>
            <w:tcW w:type="pct" w:w="50%"/>
            <w:tcMar>
              <w:top w:type="dxa" w:w="60"/>
              <w:left w:type="dxa" w:w="120"/>
              <w:bottom w:type="dxa" w:w="60"/>
              <w:right w:type="dxa" w:w="120"/>
            </w:tcMar>
          </w:tcPr>
          <w:p>
            <w:pPr>
              <w:spacing w:after="0" w:line="312"/>
            </w:pPr>
            <w:r>
              <w:rPr>
                <w:rFonts w:ascii="Times New Roman" w:eastAsia="Times New Roman"/>
                <w:color w:val="000000"/>
                <w:sz w:val="21"/>
                <w:szCs w:val="21"/>
              </w:rPr>
              <w:t xml:space="preserve">gateway/test_v2.cjs</w:t>
            </w:r>
          </w:p>
        </w:tc>
        <w:tc>
          <w:tcPr>
            <w:tcW w:type="pct" w:w="50%"/>
            <w:tcMar>
              <w:top w:type="dxa" w:w="60"/>
              <w:left w:type="dxa" w:w="120"/>
              <w:bottom w:type="dxa" w:w="60"/>
              <w:right w:type="dxa" w:w="120"/>
            </w:tcMar>
          </w:tcPr>
          <w:p>
            <w:pPr>
              <w:spacing w:after="0" w:line="312"/>
            </w:pPr>
            <w:r>
              <w:rPr>
                <w:rFonts w:ascii="Times New Roman" w:eastAsia="Times New Roman"/>
                <w:color w:val="000000"/>
                <w:sz w:val="21"/>
                <w:szCs w:val="21"/>
              </w:rPr>
              <w:t xml:space="preserve">AssemblyAI key</w:t>
            </w:r>
          </w:p>
        </w:tc>
      </w:tr>
    </w:tbl>
    <w:p>
      <w:pPr>
        <w:spacing w:after="120" w:line="312"/>
        <w:jc w:val="both"/>
      </w:pPr>
      <w:r>
        <w:rPr>
          <w:rFonts w:ascii="Times New Roman" w:eastAsia="Times New Roman"/>
          <w:b/>
          <w:bCs/>
          <w:color w:val="000000"/>
          <w:sz w:val="24"/>
          <w:szCs w:val="24"/>
        </w:rPr>
        <w:t xml:space="preserve">Risk: </w:t>
      </w:r>
      <w:r>
        <w:rPr>
          <w:rFonts w:ascii="Times New Roman" w:eastAsia="Times New Roman"/>
          <w:color w:val="000000"/>
          <w:sz w:val="24"/>
          <w:szCs w:val="24"/>
        </w:rPr>
        <w:t xml:space="preserve">Anyone with read access to the repository (or any copy of it) can use these keys for billable transcription and LLM calls, or to access whatever data and quota the accounts hold. Because the keys are committed, deletion from the working tree does not remediate them if history is shared.</w:t>
      </w:r>
    </w:p>
    <w:p>
      <w:pPr>
        <w:spacing w:after="120" w:line="312"/>
        <w:jc w:val="both"/>
      </w:pPr>
      <w:r>
        <w:rPr>
          <w:rFonts w:ascii="Times New Roman" w:eastAsia="Times New Roman"/>
          <w:b/>
          <w:bCs/>
          <w:color w:val="000000"/>
          <w:sz w:val="24"/>
          <w:szCs w:val="24"/>
        </w:rPr>
        <w:t xml:space="preserve">Remediation: </w:t>
      </w:r>
      <w:r>
        <w:rPr>
          <w:rFonts w:ascii="Times New Roman" w:eastAsia="Times New Roman"/>
          <w:color w:val="000000"/>
          <w:sz w:val="24"/>
          <w:szCs w:val="24"/>
        </w:rPr>
        <w:t xml:space="preserve">Rotate the AssemblyAI and Gemini keys immediately at the vendor consoles; change the database password. Refactor the test files to read credentials from gateway/.env like the production sidecar does. If the repository has ever been pushed to a remote, scrub history with a tool such as git-filter-repo or treat rotation as the sole mitigation. Add a pre-commit secret scanner (for example gitleaks) and a CI guard.</w:t>
      </w:r>
    </w:p>
    <w:p>
      <w:pPr>
        <w:pStyle w:val="Heading2"/>
      </w:pPr>
      <w:bookmarkStart w:id="100005" w:name="_Toc100005"/>
      <w:r>
        <w:t xml:space="preserve">4.2 F-03 — Webview Security Posture (High)</w:t>
      </w:r>
      <w:bookmarkEnd w:id="100005"/>
    </w:p>
    <w:p>
      <w:pPr>
        <w:spacing w:after="120" w:line="312"/>
        <w:jc w:val="both"/>
      </w:pPr>
      <w:r>
        <w:rPr>
          <w:rFonts w:ascii="Times New Roman" w:eastAsia="Times New Roman"/>
          <w:color w:val="000000"/>
          <w:sz w:val="24"/>
          <w:szCs w:val="24"/>
        </w:rPr>
        <w:t xml:space="preserve">src-tauri/tauri.conf.json sets app.security.csp to null and enables withGlobalTauri. A null CSP disables the browser-side script-injection defences of the webview, and the global Tauri bridge exposes invoke/listen to any script running in the page. Combined with F-05 (innerHTML rendering of externally generated text), a malicious transcript or explanation string that reached innerHTML could in principle execute script with access to the IPC commands (start_capture/stop_capture today; future commands would inherit the exposure).</w:t>
      </w:r>
    </w:p>
    <w:p>
      <w:pPr>
        <w:spacing w:after="120" w:line="312"/>
        <w:jc w:val="both"/>
      </w:pPr>
      <w:r>
        <w:rPr>
          <w:rFonts w:ascii="Times New Roman" w:eastAsia="Times New Roman"/>
          <w:b/>
          <w:bCs/>
          <w:color w:val="000000"/>
          <w:sz w:val="24"/>
          <w:szCs w:val="24"/>
        </w:rPr>
        <w:t xml:space="preserve">Remediation: </w:t>
      </w:r>
      <w:r>
        <w:rPr>
          <w:rFonts w:ascii="Times New Roman" w:eastAsia="Times New Roman"/>
          <w:color w:val="000000"/>
          <w:sz w:val="24"/>
          <w:szCs w:val="24"/>
        </w:rPr>
        <w:t xml:space="preserve">Set a restrictive CSP (default-src 'self'; connect-src limited to the dev server in development), disable withGlobalTauri and use the bundled API modules, and switch dynamic rendering to textContent or sanitised DOM construction.</w:t>
      </w:r>
    </w:p>
    <w:p>
      <w:pPr>
        <w:pStyle w:val="Heading2"/>
      </w:pPr>
      <w:bookmarkStart w:id="100006" w:name="_Toc100006"/>
      <w:r>
        <w:t xml:space="preserve">4.3 F-04 — Meeting Audio Privacy (High)</w:t>
      </w:r>
      <w:bookmarkEnd w:id="100006"/>
    </w:p>
    <w:p>
      <w:pPr>
        <w:spacing w:after="120" w:line="312"/>
        <w:jc w:val="both"/>
      </w:pPr>
      <w:r>
        <w:rPr>
          <w:rFonts w:ascii="Times New Roman" w:eastAsia="Times New Roman"/>
          <w:color w:val="000000"/>
          <w:sz w:val="24"/>
          <w:szCs w:val="24"/>
        </w:rPr>
        <w:t xml:space="preserve">The product's core function is to capture everything played through the system output plus the microphone, and to transmit it to two cloud vendors. The implementation contains no consent prompt, no recording indicator beyond the app's own status dot, no retention schedule, and no mechanism to exclude audio. Recording conversations is regulated in many jurisdictions (several require all-party consent), and transmitting meeting content to third-party processors implicates data-protection obligations. This is a product-level risk as much as a technical one.</w:t>
      </w:r>
    </w:p>
    <w:p>
      <w:pPr>
        <w:spacing w:after="120" w:line="312"/>
        <w:jc w:val="both"/>
      </w:pPr>
      <w:r>
        <w:rPr>
          <w:rFonts w:ascii="Times New Roman" w:eastAsia="Times New Roman"/>
          <w:b/>
          <w:bCs/>
          <w:color w:val="000000"/>
          <w:sz w:val="24"/>
          <w:szCs w:val="24"/>
        </w:rPr>
        <w:t xml:space="preserve">Remediation: </w:t>
      </w:r>
      <w:r>
        <w:rPr>
          <w:rFonts w:ascii="Times New Roman" w:eastAsia="Times New Roman"/>
          <w:color w:val="000000"/>
          <w:sz w:val="24"/>
          <w:szCs w:val="24"/>
        </w:rPr>
        <w:t xml:space="preserve">Before any deployment beyond personal use: add an explicit consent/acknowledgement gate on first run; document the vendors' data-processing posture (transient processing claims should be verified against their current terms); define and implement a retention policy for any persisted transcripts; and produce an end-user disclosure statement suitable for meeting participants.</w:t>
      </w:r>
    </w:p>
    <w:p>
      <w:pPr>
        <w:pStyle w:val="Heading2"/>
      </w:pPr>
      <w:bookmarkStart w:id="100007" w:name="_Toc100007"/>
      <w:r>
        <w:t xml:space="preserve">4.4 F-05 — HTML Injection Surface (Medium)</w:t>
      </w:r>
      <w:bookmarkEnd w:id="100007"/>
    </w:p>
    <w:p>
      <w:pPr>
        <w:spacing w:after="120" w:line="312"/>
        <w:jc w:val="both"/>
      </w:pPr>
      <w:r>
        <w:rPr>
          <w:rFonts w:ascii="Times New Roman" w:eastAsia="Times New Roman"/>
          <w:color w:val="000000"/>
          <w:sz w:val="24"/>
          <w:szCs w:val="24"/>
        </w:rPr>
        <w:t xml:space="preserve">main.ts builds cards for transcripts, decisions, action items and suggested replies using innerHTML interpolation of event payloads. The payloads originate from AssemblyAI and Gemini (and are thus attacker-influenceable only indirectly, via what is spoken in a meeting or via a compromised vendor response). The likelihood is low today but rises with any future feature that renders richer content.</w:t>
      </w:r>
    </w:p>
    <w:p>
      <w:pPr>
        <w:spacing w:after="120" w:line="312"/>
        <w:jc w:val="both"/>
      </w:pPr>
      <w:r>
        <w:rPr>
          <w:rFonts w:ascii="Times New Roman" w:eastAsia="Times New Roman"/>
          <w:b/>
          <w:bCs/>
          <w:color w:val="000000"/>
          <w:sz w:val="24"/>
          <w:szCs w:val="24"/>
        </w:rPr>
        <w:t xml:space="preserve">Remediation: </w:t>
      </w:r>
      <w:r>
        <w:rPr>
          <w:rFonts w:ascii="Times New Roman" w:eastAsia="Times New Roman"/>
          <w:color w:val="000000"/>
          <w:sz w:val="24"/>
          <w:szCs w:val="24"/>
        </w:rPr>
        <w:t xml:space="preserve">Render text via textContent/createTextNode; construct speaker labels and icons as static DOM; treat all event payloads as untrusted.</w:t>
      </w:r>
    </w:p>
    <w:p>
      <w:pPr>
        <w:pStyle w:val="Heading2"/>
      </w:pPr>
      <w:bookmarkStart w:id="100008" w:name="_Toc100008"/>
      <w:r>
        <w:t xml:space="preserve">4.5 F-06/F-07 — Supply Chain and Prompt Surface (Medium/Low)</w:t>
      </w:r>
      <w:bookmarkEnd w:id="100008"/>
    </w:p>
    <w:p>
      <w:pPr>
        <w:spacing w:after="120" w:line="312"/>
        <w:jc w:val="both"/>
      </w:pPr>
      <w:r>
        <w:rPr>
          <w:rFonts w:ascii="Times New Roman" w:eastAsia="Times New Roman"/>
          <w:color w:val="000000"/>
          <w:sz w:val="24"/>
          <w:szCs w:val="24"/>
        </w:rPr>
        <w:t xml:space="preserve">The gateway has no committed lockfile (the root does), so dependency resolution can drift between installs. Transcript chunks are forwarded to the LLM without length or content policy, creating both a cost surface and a prompt-injection surface (a spoken instruction such as “ignore previous instructions” enters the prompt verbatim).</w:t>
      </w:r>
    </w:p>
    <w:p>
      <w:pPr>
        <w:spacing w:after="120" w:line="312"/>
        <w:jc w:val="both"/>
      </w:pPr>
      <w:r>
        <w:rPr>
          <w:rFonts w:ascii="Times New Roman" w:eastAsia="Times New Roman"/>
          <w:b/>
          <w:bCs/>
          <w:color w:val="000000"/>
          <w:sz w:val="24"/>
          <w:szCs w:val="24"/>
        </w:rPr>
        <w:t xml:space="preserve">Remediation: </w:t>
      </w:r>
      <w:r>
        <w:rPr>
          <w:rFonts w:ascii="Times New Roman" w:eastAsia="Times New Roman"/>
          <w:color w:val="000000"/>
          <w:sz w:val="24"/>
          <w:szCs w:val="24"/>
        </w:rPr>
        <w:t xml:space="preserve">Commit gateway/package-lock.json and pin versions in CI; clamp chunk length; add an output-validation pass for structured stages; consider vendor prompt-injection guidance as it matures.</w:t>
      </w:r>
    </w:p>
    <w:p>
      <w:pPr>
        <w:pStyle w:val="Heading1"/>
      </w:pPr>
      <w:bookmarkStart w:id="100009" w:name="_Toc100009"/>
      <w:r>
        <w:t xml:space="preserve">5. Positive Security Observations</w:t>
      </w:r>
      <w:bookmarkEnd w:id="100009"/>
    </w:p>
    <w:p>
      <w:pPr>
        <w:pStyle w:val="ListParagraph"/>
        <w:numPr>
          <w:ilvl w:val="0"/>
          <w:numId w:val="1"/>
        </w:numPr>
        <w:spacing w:after="60" w:line="312"/>
      </w:pPr>
      <w:r>
        <w:rPr>
          <w:rFonts w:ascii="Times New Roman" w:eastAsia="Times New Roman"/>
          <w:color w:val="000000"/>
          <w:sz w:val="24"/>
          <w:szCs w:val="24"/>
        </w:rPr>
        <w:t xml:space="preserve">Secrets used by the production sidecar are read from environment variables (.env), and .env is correctly gitignored at both root and gateway.</w:t>
      </w:r>
    </w:p>
    <w:p>
      <w:pPr>
        <w:pStyle w:val="ListParagraph"/>
        <w:numPr>
          <w:ilvl w:val="0"/>
          <w:numId w:val="1"/>
        </w:numPr>
        <w:spacing w:after="60" w:line="312"/>
      </w:pPr>
      <w:r>
        <w:rPr>
          <w:rFonts w:ascii="Times New Roman" w:eastAsia="Times New Roman"/>
          <w:color w:val="000000"/>
          <w:sz w:val="24"/>
          <w:szCs w:val="24"/>
        </w:rPr>
        <w:t xml:space="preserve">The PCM1 receiver performs defensive validation (magic resynchronisation, payload-size bound) rather than trusting the pipe blindly.</w:t>
      </w:r>
    </w:p>
    <w:p>
      <w:pPr>
        <w:pStyle w:val="ListParagraph"/>
        <w:numPr>
          <w:ilvl w:val="0"/>
          <w:numId w:val="1"/>
        </w:numPr>
        <w:spacing w:after="60" w:line="312"/>
      </w:pPr>
      <w:r>
        <w:rPr>
          <w:rFonts w:ascii="Times New Roman" w:eastAsia="Times New Roman"/>
          <w:color w:val="000000"/>
          <w:sz w:val="24"/>
          <w:szCs w:val="24"/>
        </w:rPr>
        <w:t xml:space="preserve">Database access uses parameterised queries throughout — no SQL injection surface.</w:t>
      </w:r>
    </w:p>
    <w:p>
      <w:pPr>
        <w:pStyle w:val="ListParagraph"/>
        <w:numPr>
          <w:ilvl w:val="0"/>
          <w:numId w:val="1"/>
        </w:numPr>
        <w:spacing w:after="60" w:line="312"/>
      </w:pPr>
      <w:r>
        <w:rPr>
          <w:rFonts w:ascii="Times New Roman" w:eastAsia="Times New Roman"/>
          <w:color w:val="000000"/>
          <w:sz w:val="24"/>
          <w:szCs w:val="24"/>
        </w:rPr>
        <w:t xml:space="preserve">The Tauri capability file grants only core:default and opener permissions; no broad shell or filesystem capabilities are declared.</w:t>
      </w:r>
    </w:p>
    <w:p>
      <w:pPr>
        <w:pStyle w:val="ListParagraph"/>
        <w:numPr>
          <w:ilvl w:val="0"/>
          <w:numId w:val="1"/>
        </w:numPr>
        <w:spacing w:after="60" w:line="312"/>
      </w:pPr>
      <w:r>
        <w:rPr>
          <w:rFonts w:ascii="Times New Roman" w:eastAsia="Times New Roman"/>
          <w:color w:val="000000"/>
          <w:sz w:val="24"/>
          <w:szCs w:val="24"/>
        </w:rPr>
        <w:t xml:space="preserve">The circuit breaker doubles as an abuse limiter on the most expensive external call path.</w:t>
      </w:r>
    </w:p>
    <w:p>
      <w:pPr>
        <w:pStyle w:val="Heading1"/>
      </w:pPr>
      <w:bookmarkStart w:id="100010" w:name="_Toc100010"/>
      <w:r>
        <w:t xml:space="preserve">6. Remediation Roadmap</w:t>
      </w:r>
      <w:bookmarkEnd w:id="100010"/>
    </w:p>
    <w:p>
      <w:pPr>
        <w:keepNext/>
        <w:spacing w:after="80" w:before="200" w:line="312"/>
      </w:pPr>
      <w:r>
        <w:rPr>
          <w:rFonts w:ascii="Times New Roman" w:eastAsia="Times New Roman"/>
          <w:b/>
          <w:bCs/>
          <w:color w:val="404040"/>
          <w:sz w:val="21"/>
          <w:szCs w:val="21"/>
        </w:rPr>
        <w:t xml:space="preserve">Table 22 — Prioritised Remediation Plan</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2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Priority</w:t>
            </w:r>
          </w:p>
        </w:tc>
        <w:tc>
          <w:tcPr>
            <w:tcW w:type="pct" w:w="4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Action</w:t>
            </w:r>
          </w:p>
        </w:tc>
        <w:tc>
          <w:tcPr>
            <w:tcW w:type="pct" w:w="1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Effort</w:t>
            </w:r>
          </w:p>
        </w:tc>
        <w:tc>
          <w:tcPr>
            <w:tcW w:type="pct" w:w="20%"/>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Owner</w:t>
            </w:r>
          </w:p>
        </w:tc>
      </w:tr>
      <w:tr>
        <w:trPr>
          <w:cantSplit/>
        </w:trPr>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P0 (immediate)</w:t>
            </w:r>
          </w:p>
        </w:tc>
        <w:tc>
          <w:tcPr>
            <w:tcW w:type="pct" w:w="44%"/>
            <w:tcMar>
              <w:top w:type="dxa" w:w="60"/>
              <w:left w:type="dxa" w:w="120"/>
              <w:bottom w:type="dxa" w:w="60"/>
              <w:right w:type="dxa" w:w="120"/>
            </w:tcMar>
          </w:tcPr>
          <w:p>
            <w:pPr>
              <w:spacing w:after="0" w:line="312"/>
            </w:pPr>
            <w:r>
              <w:rPr>
                <w:rFonts w:ascii="Times New Roman" w:eastAsia="Times New Roman"/>
                <w:color w:val="000000"/>
                <w:sz w:val="21"/>
                <w:szCs w:val="21"/>
              </w:rPr>
              <w:t xml:space="preserve">Rotate all exposed credentials (AssemblyAI, Gemini, DB)</w:t>
            </w:r>
          </w:p>
        </w:tc>
        <w:tc>
          <w:tcPr>
            <w:tcW w:type="pct" w:w="14%"/>
            <w:tcMar>
              <w:top w:type="dxa" w:w="60"/>
              <w:left w:type="dxa" w:w="120"/>
              <w:bottom w:type="dxa" w:w="60"/>
              <w:right w:type="dxa" w:w="120"/>
            </w:tcMar>
          </w:tcPr>
          <w:p>
            <w:pPr>
              <w:spacing w:after="0" w:line="312"/>
            </w:pPr>
            <w:r>
              <w:rPr>
                <w:rFonts w:ascii="Times New Roman" w:eastAsia="Times New Roman"/>
                <w:color w:val="000000"/>
                <w:sz w:val="21"/>
                <w:szCs w:val="21"/>
              </w:rPr>
              <w:t xml:space="preserve">Hours</w:t>
            </w:r>
          </w:p>
        </w:tc>
        <w:tc>
          <w:tcPr>
            <w:tcW w:type="pct" w:w="20%"/>
            <w:tcMar>
              <w:top w:type="dxa" w:w="60"/>
              <w:left w:type="dxa" w:w="120"/>
              <w:bottom w:type="dxa" w:w="60"/>
              <w:right w:type="dxa" w:w="120"/>
            </w:tcMar>
          </w:tcPr>
          <w:p>
            <w:pPr>
              <w:spacing w:after="0" w:line="312"/>
            </w:pPr>
            <w:r>
              <w:rPr>
                <w:rFonts w:ascii="Times New Roman" w:eastAsia="Times New Roman"/>
                <w:color w:val="000000"/>
                <w:sz w:val="21"/>
                <w:szCs w:val="21"/>
              </w:rPr>
              <w:t xml:space="preserve">Product owner + vendors</w:t>
            </w:r>
          </w:p>
        </w:tc>
      </w:tr>
      <w:tr>
        <w:trPr>
          <w:cantSplit/>
        </w:trPr>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P0 (immediate)</w:t>
            </w:r>
          </w:p>
        </w:tc>
        <w:tc>
          <w:tcPr>
            <w:tcW w:type="pct" w:w="4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Move test scripts to environment-variable credentials</w:t>
            </w:r>
          </w:p>
        </w:tc>
        <w:tc>
          <w:tcPr>
            <w:tcW w:type="pct" w:w="1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Hours</w:t>
            </w:r>
          </w:p>
        </w:tc>
        <w:tc>
          <w:tcPr>
            <w:tcW w:type="pct" w:w="2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Engineering</w:t>
            </w:r>
          </w:p>
        </w:tc>
      </w:tr>
      <w:tr>
        <w:trPr>
          <w:cantSplit/>
        </w:trPr>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P1 (before share/production)</w:t>
            </w:r>
          </w:p>
        </w:tc>
        <w:tc>
          <w:tcPr>
            <w:tcW w:type="pct" w:w="44%"/>
            <w:tcMar>
              <w:top w:type="dxa" w:w="60"/>
              <w:left w:type="dxa" w:w="120"/>
              <w:bottom w:type="dxa" w:w="60"/>
              <w:right w:type="dxa" w:w="120"/>
            </w:tcMar>
          </w:tcPr>
          <w:p>
            <w:pPr>
              <w:spacing w:after="0" w:line="312"/>
            </w:pPr>
            <w:r>
              <w:rPr>
                <w:rFonts w:ascii="Times New Roman" w:eastAsia="Times New Roman"/>
                <w:color w:val="000000"/>
                <w:sz w:val="21"/>
                <w:szCs w:val="21"/>
              </w:rPr>
              <w:t xml:space="preserve">Enable restrictive CSP; disable withGlobalTauri</w:t>
            </w:r>
          </w:p>
        </w:tc>
        <w:tc>
          <w:tcPr>
            <w:tcW w:type="pct" w:w="14%"/>
            <w:tcMar>
              <w:top w:type="dxa" w:w="60"/>
              <w:left w:type="dxa" w:w="120"/>
              <w:bottom w:type="dxa" w:w="60"/>
              <w:right w:type="dxa" w:w="120"/>
            </w:tcMar>
          </w:tcPr>
          <w:p>
            <w:pPr>
              <w:spacing w:after="0" w:line="312"/>
            </w:pPr>
            <w:r>
              <w:rPr>
                <w:rFonts w:ascii="Times New Roman" w:eastAsia="Times New Roman"/>
                <w:color w:val="000000"/>
                <w:sz w:val="21"/>
                <w:szCs w:val="21"/>
              </w:rPr>
              <w:t xml:space="preserve">Days</w:t>
            </w:r>
          </w:p>
        </w:tc>
        <w:tc>
          <w:tcPr>
            <w:tcW w:type="pct" w:w="20%"/>
            <w:tcMar>
              <w:top w:type="dxa" w:w="60"/>
              <w:left w:type="dxa" w:w="120"/>
              <w:bottom w:type="dxa" w:w="60"/>
              <w:right w:type="dxa" w:w="120"/>
            </w:tcMar>
          </w:tcPr>
          <w:p>
            <w:pPr>
              <w:spacing w:after="0" w:line="312"/>
            </w:pPr>
            <w:r>
              <w:rPr>
                <w:rFonts w:ascii="Times New Roman" w:eastAsia="Times New Roman"/>
                <w:color w:val="000000"/>
                <w:sz w:val="21"/>
                <w:szCs w:val="21"/>
              </w:rPr>
              <w:t xml:space="preserve">Engineering</w:t>
            </w:r>
          </w:p>
        </w:tc>
      </w:tr>
      <w:tr>
        <w:trPr>
          <w:cantSplit/>
        </w:trPr>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P1 (before share/production)</w:t>
            </w:r>
          </w:p>
        </w:tc>
        <w:tc>
          <w:tcPr>
            <w:tcW w:type="pct" w:w="4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Consent gate + retention policy + disclosure statement</w:t>
            </w:r>
          </w:p>
        </w:tc>
        <w:tc>
          <w:tcPr>
            <w:tcW w:type="pct" w:w="1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Days–weeks</w:t>
            </w:r>
          </w:p>
        </w:tc>
        <w:tc>
          <w:tcPr>
            <w:tcW w:type="pct" w:w="2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Product + Legal</w:t>
            </w:r>
          </w:p>
        </w:tc>
      </w:tr>
      <w:tr>
        <w:trPr>
          <w:cantSplit/>
        </w:trPr>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P1</w:t>
            </w:r>
          </w:p>
        </w:tc>
        <w:tc>
          <w:tcPr>
            <w:tcW w:type="pct" w:w="44%"/>
            <w:tcMar>
              <w:top w:type="dxa" w:w="60"/>
              <w:left w:type="dxa" w:w="120"/>
              <w:bottom w:type="dxa" w:w="60"/>
              <w:right w:type="dxa" w:w="120"/>
            </w:tcMar>
          </w:tcPr>
          <w:p>
            <w:pPr>
              <w:spacing w:after="0" w:line="312"/>
            </w:pPr>
            <w:r>
              <w:rPr>
                <w:rFonts w:ascii="Times New Roman" w:eastAsia="Times New Roman"/>
                <w:color w:val="000000"/>
                <w:sz w:val="21"/>
                <w:szCs w:val="21"/>
              </w:rPr>
              <w:t xml:space="preserve">Replace innerHTML with safe DOM construction</w:t>
            </w:r>
          </w:p>
        </w:tc>
        <w:tc>
          <w:tcPr>
            <w:tcW w:type="pct" w:w="14%"/>
            <w:tcMar>
              <w:top w:type="dxa" w:w="60"/>
              <w:left w:type="dxa" w:w="120"/>
              <w:bottom w:type="dxa" w:w="60"/>
              <w:right w:type="dxa" w:w="120"/>
            </w:tcMar>
          </w:tcPr>
          <w:p>
            <w:pPr>
              <w:spacing w:after="0" w:line="312"/>
            </w:pPr>
            <w:r>
              <w:rPr>
                <w:rFonts w:ascii="Times New Roman" w:eastAsia="Times New Roman"/>
                <w:color w:val="000000"/>
                <w:sz w:val="21"/>
                <w:szCs w:val="21"/>
              </w:rPr>
              <w:t xml:space="preserve">Days</w:t>
            </w:r>
          </w:p>
        </w:tc>
        <w:tc>
          <w:tcPr>
            <w:tcW w:type="pct" w:w="20%"/>
            <w:tcMar>
              <w:top w:type="dxa" w:w="60"/>
              <w:left w:type="dxa" w:w="120"/>
              <w:bottom w:type="dxa" w:w="60"/>
              <w:right w:type="dxa" w:w="120"/>
            </w:tcMar>
          </w:tcPr>
          <w:p>
            <w:pPr>
              <w:spacing w:after="0" w:line="312"/>
            </w:pPr>
            <w:r>
              <w:rPr>
                <w:rFonts w:ascii="Times New Roman" w:eastAsia="Times New Roman"/>
                <w:color w:val="000000"/>
                <w:sz w:val="21"/>
                <w:szCs w:val="21"/>
              </w:rPr>
              <w:t xml:space="preserve">Engineering</w:t>
            </w:r>
          </w:p>
        </w:tc>
      </w:tr>
      <w:tr>
        <w:trPr>
          <w:cantSplit/>
        </w:trPr>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P2</w:t>
            </w:r>
          </w:p>
        </w:tc>
        <w:tc>
          <w:tcPr>
            <w:tcW w:type="pct" w:w="4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Secret scanning in pre-commit and CI</w:t>
            </w:r>
          </w:p>
        </w:tc>
        <w:tc>
          <w:tcPr>
            <w:tcW w:type="pct" w:w="1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Days</w:t>
            </w:r>
          </w:p>
        </w:tc>
        <w:tc>
          <w:tcPr>
            <w:tcW w:type="pct" w:w="2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DevOps</w:t>
            </w:r>
          </w:p>
        </w:tc>
      </w:tr>
      <w:tr>
        <w:trPr>
          <w:cantSplit/>
        </w:trPr>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P2</w:t>
            </w:r>
          </w:p>
        </w:tc>
        <w:tc>
          <w:tcPr>
            <w:tcW w:type="pct" w:w="44%"/>
            <w:tcMar>
              <w:top w:type="dxa" w:w="60"/>
              <w:left w:type="dxa" w:w="120"/>
              <w:bottom w:type="dxa" w:w="60"/>
              <w:right w:type="dxa" w:w="120"/>
            </w:tcMar>
          </w:tcPr>
          <w:p>
            <w:pPr>
              <w:spacing w:after="0" w:line="312"/>
            </w:pPr>
            <w:r>
              <w:rPr>
                <w:rFonts w:ascii="Times New Roman" w:eastAsia="Times New Roman"/>
                <w:color w:val="000000"/>
                <w:sz w:val="21"/>
                <w:szCs w:val="21"/>
              </w:rPr>
              <w:t xml:space="preserve">Commit gateway lockfile; pin dependencies; add update automation</w:t>
            </w:r>
          </w:p>
        </w:tc>
        <w:tc>
          <w:tcPr>
            <w:tcW w:type="pct" w:w="14%"/>
            <w:tcMar>
              <w:top w:type="dxa" w:w="60"/>
              <w:left w:type="dxa" w:w="120"/>
              <w:bottom w:type="dxa" w:w="60"/>
              <w:right w:type="dxa" w:w="120"/>
            </w:tcMar>
          </w:tcPr>
          <w:p>
            <w:pPr>
              <w:spacing w:after="0" w:line="312"/>
            </w:pPr>
            <w:r>
              <w:rPr>
                <w:rFonts w:ascii="Times New Roman" w:eastAsia="Times New Roman"/>
                <w:color w:val="000000"/>
                <w:sz w:val="21"/>
                <w:szCs w:val="21"/>
              </w:rPr>
              <w:t xml:space="preserve">Days</w:t>
            </w:r>
          </w:p>
        </w:tc>
        <w:tc>
          <w:tcPr>
            <w:tcW w:type="pct" w:w="20%"/>
            <w:tcMar>
              <w:top w:type="dxa" w:w="60"/>
              <w:left w:type="dxa" w:w="120"/>
              <w:bottom w:type="dxa" w:w="60"/>
              <w:right w:type="dxa" w:w="120"/>
            </w:tcMar>
          </w:tcPr>
          <w:p>
            <w:pPr>
              <w:spacing w:after="0" w:line="312"/>
            </w:pPr>
            <w:r>
              <w:rPr>
                <w:rFonts w:ascii="Times New Roman" w:eastAsia="Times New Roman"/>
                <w:color w:val="000000"/>
                <w:sz w:val="21"/>
                <w:szCs w:val="21"/>
              </w:rPr>
              <w:t xml:space="preserve">Engineering</w:t>
            </w:r>
          </w:p>
        </w:tc>
      </w:tr>
      <w:tr>
        <w:trPr>
          <w:cantSplit/>
        </w:trPr>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P3</w:t>
            </w:r>
          </w:p>
        </w:tc>
        <w:tc>
          <w:tcPr>
            <w:tcW w:type="pct" w:w="4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Chunk-length clamping and output validation for LLM stages</w:t>
            </w:r>
          </w:p>
        </w:tc>
        <w:tc>
          <w:tcPr>
            <w:tcW w:type="pct" w:w="1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Days</w:t>
            </w:r>
          </w:p>
        </w:tc>
        <w:tc>
          <w:tcPr>
            <w:tcW w:type="pct" w:w="2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Engineering</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2" w:space="4"/>
      </w:pBdr>
      <w:jc w:val="right"/>
    </w:pPr>
    <w:r>
      <w:rPr>
        <w:rFonts w:ascii="Times New Roman" w:eastAsia="Times New Roman"/>
        <w:color w:val="A0A0A0"/>
        <w:sz w:val="16"/>
        <w:szCs w:val="16"/>
      </w:rPr>
      <w:t xml:space="preserve">Security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Times New Roman"/>
      <w:b/>
      <w:bCs/>
      <w:color w:val="000000"/>
      <w:sz w:val="32"/>
      <w:szCs w:val="32"/>
    </w:rPr>
  </w:style>
  <w:style w:type="paragraph" w:styleId="Heading2">
    <w:name w:val="Heading 2"/>
    <w:basedOn w:val="Normal"/>
    <w:next w:val="Normal"/>
    <w:qFormat/>
    <w:pPr>
      <w:spacing w:after="120" w:before="280" w:line="312"/>
      <w:outlineLvl w:val="1"/>
    </w:pPr>
    <w:rPr>
      <w:rFonts w:ascii="Times New Roman" w:eastAsia="Times New Roman"/>
      <w:b/>
      <w:bCs/>
      <w:color w:val="000000"/>
      <w:sz w:val="28"/>
      <w:szCs w:val="28"/>
    </w:rPr>
  </w:style>
  <w:style w:type="paragraph" w:styleId="Heading3">
    <w:name w:val="Heading 3"/>
    <w:basedOn w:val="Normal"/>
    <w:next w:val="Normal"/>
    <w:qFormat/>
    <w:pPr>
      <w:spacing w:after="100" w:before="240" w:line="312"/>
      <w:outlineLvl w:val="2"/>
    </w:pPr>
    <w:rPr>
      <w:rFonts w:ascii="Times New Roman" w:eastAsia="Times New Roman"/>
      <w:b/>
      <w:bCs/>
      <w:color w:val="1A1A1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Assessment</dc:title>
  <dc:creator>Technology Advisory Practice</dc:creator>
  <cp:lastModifiedBy>Un-named</cp:lastModifiedBy>
  <cp:revision>1</cp:revision>
  <dcterms:created xsi:type="dcterms:W3CDTF">2026-08-18T04:50:54.237Z</dcterms:created>
  <dcterms:modified xsi:type="dcterms:W3CDTF">2026-08-18T04:50:54.237Z</dcterms:modified>
</cp:coreProperties>
</file>

<file path=docProps/custom.xml><?xml version="1.0" encoding="utf-8"?>
<Properties xmlns="http://schemas.openxmlformats.org/officeDocument/2006/custom-properties" xmlns:vt="http://schemas.openxmlformats.org/officeDocument/2006/docPropsVTypes"/>
</file>