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3F1ED" w:val="clear"/>
            <w:vAlign w:val="top"/>
          </w:tcPr>
          <w:p>
            <w:pPr>
              <w:spacing w:before="4241"/>
            </w:pPr>
          </w:p>
          <w:p>
            <w:pPr>
              <w:pBdr>
                <w:bottom w:val="single" w:color="D6C096" w:sz="6" w:space="8"/>
              </w:pBdr>
              <w:spacing w:after="500"/>
              <w:ind w:left="1200" w:right="800"/>
            </w:pPr>
            <w:r>
              <w:rPr>
                <w:rFonts w:ascii="Times New Roman" w:eastAsia="Times New Roman"/>
                <w:color w:val="9A8455"/>
                <w:spacing w:val="40"/>
                <w:sz w:val="18"/>
                <w:szCs w:val="18"/>
              </w:rPr>
              <w:t xml:space="preserve">T  E  C  H  N  O  L  O  G  Y     A  D  V  I  S  O  R  Y</w:t>
            </w:r>
          </w:p>
          <w:p>
            <w:pPr>
              <w:spacing w:after="100" w:line="920" w:lineRule="atLeast"/>
              <w:ind w:left="1200"/>
            </w:pPr>
            <w:r>
              <w:rPr>
                <w:rFonts w:ascii="Times New Roman" w:eastAsia="Times New Roman"/>
                <w:b/>
                <w:bCs/>
                <w:color w:val="000000"/>
                <w:sz w:val="80"/>
                <w:szCs w:val="80"/>
              </w:rPr>
              <w:t xml:space="preserve">Quality and Test</w:t>
            </w:r>
          </w:p>
          <w:p>
            <w:pPr>
              <w:spacing w:after="300" w:line="920" w:lineRule="atLeast"/>
              <w:ind w:left="1200"/>
            </w:pPr>
            <w:r>
              <w:rPr>
                <w:rFonts w:ascii="Times New Roman" w:eastAsia="Times New Roman"/>
                <w:b/>
                <w:bCs/>
                <w:color w:val="000000"/>
                <w:sz w:val="80"/>
                <w:szCs w:val="80"/>
              </w:rPr>
              <w:t xml:space="preserve">Strategy</w:t>
            </w:r>
          </w:p>
          <w:p>
            <w:pPr>
              <w:spacing w:after="800"/>
              <w:ind w:left="1200"/>
            </w:pPr>
            <w:r>
              <w:rPr>
                <w:rFonts w:ascii="Times New Roman" w:eastAsia="Times New Roman"/>
                <w:color w:val="606060"/>
                <w:sz w:val="24"/>
                <w:szCs w:val="24"/>
              </w:rPr>
              <w:t xml:space="preserve">AI Meeting Interpreter — Verification Target State and Roadmap</w:t>
            </w:r>
          </w:p>
          <w:p>
            <w:pPr>
              <w:pBdr>
                <w:left w:val="single" w:color="D6C096" w:sz="8" w:space="12"/>
              </w:pBdr>
              <w:spacing w:after="80"/>
              <w:ind w:left="1400"/>
            </w:pPr>
            <w:r>
              <w:rPr>
                <w:rFonts w:ascii="Times New Roman" w:eastAsia="Times New Roman"/>
                <w:color w:val="707070"/>
                <w:sz w:val="24"/>
                <w:szCs w:val="24"/>
              </w:rPr>
              <w:t xml:space="preserve">Document AMI-QTS-007  ·  Version 1.0</w:t>
            </w:r>
          </w:p>
          <w:p>
            <w:pPr>
              <w:pBdr>
                <w:left w:val="single" w:color="D6C096" w:sz="8" w:space="12"/>
              </w:pBdr>
              <w:spacing w:after="80"/>
              <w:ind w:left="1400"/>
            </w:pPr>
            <w:r>
              <w:rPr>
                <w:rFonts w:ascii="Times New Roman" w:eastAsia="Times New Roman"/>
                <w:color w:val="707070"/>
                <w:sz w:val="24"/>
                <w:szCs w:val="24"/>
              </w:rPr>
              <w:t xml:space="preserve">Date of issue: 18 August 2026</w:t>
            </w:r>
          </w:p>
          <w:p>
            <w:pPr>
              <w:pBdr>
                <w:left w:val="single" w:color="D6C096" w:sz="8" w:space="12"/>
              </w:pBdr>
              <w:spacing w:after="80"/>
              <w:ind w:left="1400"/>
            </w:pPr>
            <w:r>
              <w:rPr>
                <w:rFonts w:ascii="Times New Roman" w:eastAsia="Times New Roman"/>
                <w:color w:val="707070"/>
                <w:sz w:val="24"/>
                <w:szCs w:val="24"/>
              </w:rPr>
              <w:t xml:space="preserve">Classification: Client Confidential</w:t>
            </w:r>
          </w:p>
          <w:p>
            <w:pPr>
              <w:spacing w:before="4241"/>
            </w:pPr>
          </w:p>
          <w:p>
            <w:pPr>
              <w:pBdr>
                <w:top w:val="single" w:color="D6C096" w:sz="2" w:space="8"/>
              </w:pBdr>
              <w:spacing w:before="200"/>
              <w:ind w:left="1200" w:right="800"/>
            </w:pPr>
            <w:r>
              <w:rPr>
                <w:rFonts w:ascii="Times New Roman" w:eastAsia="Times New Roman"/>
                <w:color w:val="A0A0A0"/>
                <w:sz w:val="16"/>
                <w:szCs w:val="16"/>
              </w:rPr>
              <w:t xml:space="preserve">AI Meeting Interpreter</w:t>
            </w:r>
            <w:r>
              <w:t xml:space="preserve">                                                        </w:t>
            </w:r>
            <w:r>
              <w:rPr>
                <w:rFonts w:ascii="Times New Roman" w:eastAsia="Times New Roman"/>
                <w:color w:val="A0A0A0"/>
                <w:sz w:val="16"/>
                <w:szCs w:val="16"/>
              </w:rPr>
              <w:t xml:space="preserve">18 August 2026</w:t>
            </w:r>
          </w:p>
        </w:tc>
      </w:tr>
    </w:tbl>
    <w:p>
      <w:pPr>
        <w:sectPr>
          <w:pgSz w:w="11906" w:h="16838" w:orient="portrait"/>
          <w:pgMar w:top="0" w:right="0" w:bottom="0" w:left="0" w:header="708" w:footer="708" w:gutter="0"/>
          <w:docGrid w:linePitch="360"/>
        </w:sectPr>
      </w:pPr>
    </w:p>
    <w:p>
      <w:pPr>
        <w:spacing w:after="240" w:before="120" w:line="312"/>
        <w:jc w:val="left"/>
      </w:pPr>
      <w:r>
        <w:rPr>
          <w:rFonts w:ascii="Times New Roman" w:eastAsia="Times New Roman"/>
          <w:b/>
          <w:bCs/>
          <w:color w:val="000000"/>
          <w:sz w:val="32"/>
          <w:szCs w:val="32"/>
        </w:rPr>
        <w:t xml:space="preserve">Document Control</w:t>
      </w:r>
    </w:p>
    <w:p>
      <w:pPr>
        <w:spacing w:after="120" w:line="312"/>
      </w:pPr>
      <w:r>
        <w:rPr>
          <w:rFonts w:ascii="Times New Roman" w:eastAsia="Times New Roman"/>
          <w:color w:val="404040"/>
          <w:sz w:val="22"/>
          <w:szCs w:val="22"/>
        </w:rPr>
        <w:t xml:space="preserve">The following table records the ownership, status and classification of this document.</w:t>
      </w:r>
    </w:p>
    <w:tbl>
      <w:tblPr>
        <w:tblW w:type="pct" w:w="100%"/>
        <w:tblBorders>
          <w:top w:val="single" w:color="000000" w:sz="2"/>
          <w:left w:val="none"/>
          <w:bottom w:val="single" w:color="000000" w:sz="2"/>
          <w:right w:val="none"/>
          <w:insideH w:val="single" w:color="DDD8CC" w:sz="1"/>
          <w:insideV w:val="none"/>
        </w:tblBorders>
      </w:tblPr>
      <w:tblGrid>
        <w:gridCol w:w="100"/>
        <w:gridCol w:w="100"/>
      </w:tblGrid>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Document Title</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Quality &amp; Test Strategy</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Document Identifier</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AMI-QTS-007</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Version</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1.0</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Status</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Issued</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Date of Issue</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Prepared By</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 Practice</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Client / Engagement</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AI Meeting Interpreter — Independent Technology Review</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Classification</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Client Confidential</w:t>
            </w:r>
          </w:p>
        </w:tc>
      </w:tr>
    </w:tbl>
    <w:p>
      <w:pPr>
        <w:spacing w:after="160" w:before="160"/>
      </w:pPr>
    </w:p>
    <w:p>
      <w:pPr>
        <w:spacing w:after="80" w:before="120" w:line="312"/>
      </w:pPr>
      <w:r>
        <w:rPr>
          <w:rFonts w:ascii="Times New Roman" w:eastAsia="Times New Roman"/>
          <w:b/>
          <w:bCs/>
          <w:color w:val="000000"/>
          <w:sz w:val="24"/>
          <w:szCs w:val="24"/>
        </w:rPr>
        <w:t xml:space="preserve">Version History</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1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Version</w:t>
            </w:r>
          </w:p>
        </w:tc>
        <w:tc>
          <w:tcPr>
            <w:tcW w:type="pct" w:w="1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Date</w:t>
            </w:r>
          </w:p>
        </w:tc>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Author</w:t>
            </w:r>
          </w:p>
        </w:tc>
        <w:tc>
          <w:tcPr>
            <w:tcW w:type="pct" w:w="4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Description of Change</w:t>
            </w:r>
          </w:p>
        </w:tc>
      </w:tr>
      <w:tr>
        <w:trPr>
          <w:cantSplit/>
        </w:trPr>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0.1</w:t>
            </w:r>
          </w:p>
        </w:tc>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w:t>
            </w:r>
          </w:p>
        </w:tc>
        <w:tc>
          <w:tcPr>
            <w:tcW w:type="pct" w:w="48%"/>
            <w:tcMar>
              <w:top w:type="dxa" w:w="60"/>
              <w:left w:type="dxa" w:w="120"/>
              <w:bottom w:type="dxa" w:w="60"/>
              <w:right w:type="dxa" w:w="120"/>
            </w:tcMar>
          </w:tcPr>
          <w:p>
            <w:pPr>
              <w:spacing w:after="0" w:line="312"/>
            </w:pPr>
            <w:r>
              <w:rPr>
                <w:rFonts w:ascii="Times New Roman" w:eastAsia="Times New Roman"/>
                <w:color w:val="000000"/>
                <w:sz w:val="21"/>
                <w:szCs w:val="21"/>
              </w:rPr>
              <w:t xml:space="preserve">Initial working draft produced from repository inspection.</w:t>
            </w:r>
          </w:p>
        </w:tc>
      </w:tr>
      <w:tr>
        <w:trPr>
          <w:cantSplit/>
        </w:trPr>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1.0</w:t>
            </w:r>
          </w:p>
        </w:tc>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w:t>
            </w:r>
          </w:p>
        </w:tc>
        <w:tc>
          <w:tcPr>
            <w:tcW w:type="pct" w:w="4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First issued version for client review.</w:t>
            </w:r>
          </w:p>
        </w:tc>
      </w:tr>
    </w:tbl>
    <w:p>
      <w:pPr>
        <w:spacing w:after="160" w:before="160"/>
      </w:pPr>
    </w:p>
    <w:p>
      <w:pPr>
        <w:spacing w:after="80" w:before="120" w:line="312"/>
      </w:pPr>
      <w:r>
        <w:rPr>
          <w:rFonts w:ascii="Times New Roman" w:eastAsia="Times New Roman"/>
          <w:b/>
          <w:bCs/>
          <w:color w:val="000000"/>
          <w:sz w:val="24"/>
          <w:szCs w:val="24"/>
        </w:rPr>
        <w:t xml:space="preserve">Distribution &amp; Approval</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2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Name</w:t>
            </w:r>
          </w:p>
        </w:tc>
        <w:tc>
          <w:tcPr>
            <w:tcW w:type="pct" w:w="2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Role</w:t>
            </w:r>
          </w:p>
        </w:tc>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Action</w:t>
            </w:r>
          </w:p>
        </w:tc>
        <w:tc>
          <w:tcPr>
            <w:tcW w:type="pct" w:w="2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Date</w:t>
            </w:r>
          </w:p>
        </w:tc>
      </w:tr>
      <w:tr>
        <w:trPr>
          <w:cantSplit/>
        </w:trPr>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【Client Sponsor】</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Product Owner</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Approve</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r>
        <w:trPr>
          <w:cantSplit/>
        </w:trPr>
        <w:tc>
          <w:tcPr>
            <w:tcW w:type="pct" w:w="2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【Engineering Lead】</w:t>
            </w:r>
          </w:p>
        </w:tc>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Technical Authority</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Review</w:t>
            </w:r>
          </w:p>
        </w:tc>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r>
        <w:trPr>
          <w:cantSplit/>
        </w:trPr>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【Security Officer】</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Information Security</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Review</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bl>
    <w:p>
      <w:pPr>
        <w:pageBreakBefore/>
        <w:spacing w:after="360" w:before="240" w:line="312"/>
        <w:jc w:val="center"/>
      </w:pPr>
      <w:r>
        <w:rPr>
          <w:rFonts w:ascii="Times New Roman" w:eastAsia="Times New Roman"/>
          <w:b/>
          <w:bCs/>
          <w:color w:val="00000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Purpose</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Current State Assessment</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Target Quality Model</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4. Proposed Test Architecture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4.1 Unit Tests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4.2 Integration Tests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4.3 End-to-End Tests</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5. CI/CD Pipeline Design</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6. Quality Gates and Acceptance Criteria</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7. Phased Roadmap</w:t>
            </w:r>
            <w:r>
              <w:tab/>
            </w:r>
            <w:r>
              <w:fldChar w:fldCharType="begin"/>
            </w:r>
            <w:r>
              <w:instrText xml:space="preserve"> PAGEREF _Toc100009 \h </w:instrText>
            </w:r>
            <w:r>
              <w:fldChar w:fldCharType="separate"/>
            </w:r>
            <w:r>
              <w:t>5</w:t>
            </w:r>
            <w:r>
              <w:fldChar w:fldCharType="end"/>
            </w:r>
          </w:hyperlink>
        </w:p>
        <w:p>
          <w:r>
            <w:fldChar w:fldCharType="end"/>
          </w:r>
        </w:p>
      </w:sdtContent>
    </w:sdt>
    <w:p>
      <w:pPr>
        <w:spacing w:before="200" w:line="312"/>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pPr>
      <w:bookmarkStart w:id="100000" w:name="_Toc100000"/>
      <w:r>
        <w:t xml:space="preserve">1. Purpose</w:t>
      </w:r>
      <w:bookmarkEnd w:id="100000"/>
    </w:p>
    <w:p>
      <w:pPr>
        <w:spacing w:after="120" w:line="312"/>
        <w:jc w:val="both"/>
      </w:pPr>
      <w:r>
        <w:rPr>
          <w:rFonts w:ascii="Times New Roman" w:eastAsia="Times New Roman"/>
          <w:color w:val="000000"/>
          <w:sz w:val="24"/>
          <w:szCs w:val="24"/>
        </w:rPr>
        <w:t xml:space="preserve">This Quality &amp; Test Strategy assesses the current verification posture of the AI Meeting Interpreter and defines a target state with a concrete, phased path to reach it. It is written for QA leads and engineering management and should be read alongside the Security Assessment (AMI-SEC-006), several of whose findings are quality-prevention problems.</w:t>
      </w:r>
    </w:p>
    <w:p>
      <w:pPr>
        <w:pStyle w:val="Heading1"/>
      </w:pPr>
      <w:bookmarkStart w:id="100001" w:name="_Toc100001"/>
      <w:r>
        <w:t xml:space="preserve">2. Current State Assessment</w:t>
      </w:r>
      <w:bookmarkEnd w:id="100001"/>
    </w:p>
    <w:p>
      <w:pPr>
        <w:spacing w:after="120" w:line="312"/>
        <w:jc w:val="both"/>
      </w:pPr>
      <w:r>
        <w:rPr>
          <w:rFonts w:ascii="Times New Roman" w:eastAsia="Times New Roman"/>
          <w:color w:val="000000"/>
          <w:sz w:val="24"/>
          <w:szCs w:val="24"/>
        </w:rPr>
        <w:t xml:space="preserve">The project currently has no automated quality verification. The facts established during review are recorded below without exaggeration.</w:t>
      </w:r>
    </w:p>
    <w:p>
      <w:pPr>
        <w:keepNext/>
        <w:spacing w:after="80" w:before="200" w:line="312"/>
      </w:pPr>
      <w:r>
        <w:rPr>
          <w:rFonts w:ascii="Times New Roman" w:eastAsia="Times New Roman"/>
          <w:b/>
          <w:bCs/>
          <w:color w:val="404040"/>
          <w:sz w:val="21"/>
          <w:szCs w:val="21"/>
        </w:rPr>
        <w:t xml:space="preserve">Table 23 — Current Verification Posture</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tblGrid>
      <w:tr>
        <w:trPr>
          <w:cantSplit/>
          <w:tblHeader/>
        </w:trPr>
        <w:tc>
          <w:tcPr>
            <w:tcW w:type="pct" w:w="2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Aspect</w:t>
            </w:r>
          </w:p>
        </w:tc>
        <w:tc>
          <w:tcPr>
            <w:tcW w:type="pct" w:w="2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Current State</w:t>
            </w:r>
          </w:p>
        </w:tc>
        <w:tc>
          <w:tcPr>
            <w:tcW w:type="pct" w:w="5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Assessment</w:t>
            </w:r>
          </w:p>
        </w:tc>
      </w:tr>
      <w:tr>
        <w:trPr>
          <w:cantSplit/>
        </w:trPr>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Unit tests</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None</w:t>
            </w:r>
          </w:p>
        </w:tc>
        <w:tc>
          <w:tcPr>
            <w:tcW w:type="pct" w:w="52%"/>
            <w:tcMar>
              <w:top w:type="dxa" w:w="60"/>
              <w:left w:type="dxa" w:w="120"/>
              <w:bottom w:type="dxa" w:w="60"/>
              <w:right w:type="dxa" w:w="120"/>
            </w:tcMar>
          </w:tcPr>
          <w:p>
            <w:pPr>
              <w:spacing w:after="0" w:line="312"/>
            </w:pPr>
            <w:r>
              <w:rPr>
                <w:rFonts w:ascii="Times New Roman" w:eastAsia="Times New Roman"/>
                <w:color w:val="000000"/>
                <w:sz w:val="21"/>
                <w:szCs w:val="21"/>
              </w:rPr>
              <w:t xml:space="preserve">No test framework in any of the three runtimes</w:t>
            </w:r>
          </w:p>
        </w:tc>
      </w:tr>
      <w:tr>
        <w:trPr>
          <w:cantSplit/>
        </w:trPr>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Integration tests</w:t>
            </w:r>
          </w:p>
        </w:tc>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None automated</w:t>
            </w:r>
          </w:p>
        </w:tc>
        <w:tc>
          <w:tcPr>
            <w:tcW w:type="pct" w:w="5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Only ad-hoc manual scripts exist</w:t>
            </w:r>
          </w:p>
        </w:tc>
      </w:tr>
      <w:tr>
        <w:trPr>
          <w:cantSplit/>
        </w:trPr>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End-to-end tests</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None</w:t>
            </w:r>
          </w:p>
        </w:tc>
        <w:tc>
          <w:tcPr>
            <w:tcW w:type="pct" w:w="52%"/>
            <w:tcMar>
              <w:top w:type="dxa" w:w="60"/>
              <w:left w:type="dxa" w:w="120"/>
              <w:bottom w:type="dxa" w:w="60"/>
              <w:right w:type="dxa" w:w="120"/>
            </w:tcMar>
          </w:tcPr>
          <w:p>
            <w:pPr>
              <w:spacing w:after="0" w:line="312"/>
            </w:pPr>
            <w:r>
              <w:rPr>
                <w:rFonts w:ascii="Times New Roman" w:eastAsia="Times New Roman"/>
                <w:color w:val="000000"/>
                <w:sz w:val="21"/>
                <w:szCs w:val="21"/>
              </w:rPr>
              <w:t xml:space="preserve">No UI automation</w:t>
            </w:r>
          </w:p>
        </w:tc>
      </w:tr>
      <w:tr>
        <w:trPr>
          <w:cantSplit/>
        </w:trPr>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Test script</w:t>
            </w:r>
          </w:p>
        </w:tc>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Placeholder that always fails</w:t>
            </w:r>
          </w:p>
        </w:tc>
        <w:tc>
          <w:tcPr>
            <w:tcW w:type="pct" w:w="5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gateway package.json test script exits 1 by design</w:t>
            </w:r>
          </w:p>
        </w:tc>
      </w:tr>
      <w:tr>
        <w:trPr>
          <w:cantSplit/>
        </w:trPr>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CI/CD</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None</w:t>
            </w:r>
          </w:p>
        </w:tc>
        <w:tc>
          <w:tcPr>
            <w:tcW w:type="pct" w:w="52%"/>
            <w:tcMar>
              <w:top w:type="dxa" w:w="60"/>
              <w:left w:type="dxa" w:w="120"/>
              <w:bottom w:type="dxa" w:w="60"/>
              <w:right w:type="dxa" w:w="120"/>
            </w:tcMar>
          </w:tcPr>
          <w:p>
            <w:pPr>
              <w:spacing w:after="0" w:line="312"/>
            </w:pPr>
            <w:r>
              <w:rPr>
                <w:rFonts w:ascii="Times New Roman" w:eastAsia="Times New Roman"/>
                <w:color w:val="000000"/>
                <w:sz w:val="21"/>
                <w:szCs w:val="21"/>
              </w:rPr>
              <w:t xml:space="preserve">No pipeline of any kind; builds are manual</w:t>
            </w:r>
          </w:p>
        </w:tc>
      </w:tr>
      <w:tr>
        <w:trPr>
          <w:cantSplit/>
        </w:trPr>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Static analysis / lint</w:t>
            </w:r>
          </w:p>
        </w:tc>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None configured</w:t>
            </w:r>
          </w:p>
        </w:tc>
        <w:tc>
          <w:tcPr>
            <w:tcW w:type="pct" w:w="5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No linter config for TS, JS or Rust</w:t>
            </w:r>
          </w:p>
        </w:tc>
      </w:tr>
      <w:tr>
        <w:trPr>
          <w:cantSplit/>
        </w:trPr>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Secret scanning</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None</w:t>
            </w:r>
          </w:p>
        </w:tc>
        <w:tc>
          <w:tcPr>
            <w:tcW w:type="pct" w:w="52%"/>
            <w:tcMar>
              <w:top w:type="dxa" w:w="60"/>
              <w:left w:type="dxa" w:w="120"/>
              <w:bottom w:type="dxa" w:w="60"/>
              <w:right w:type="dxa" w:w="120"/>
            </w:tcMar>
          </w:tcPr>
          <w:p>
            <w:pPr>
              <w:spacing w:after="0" w:line="312"/>
            </w:pPr>
            <w:r>
              <w:rPr>
                <w:rFonts w:ascii="Times New Roman" w:eastAsia="Times New Roman"/>
                <w:color w:val="000000"/>
                <w:sz w:val="21"/>
                <w:szCs w:val="21"/>
              </w:rPr>
              <w:t xml:space="preserve">A live key was committed (finding F-01)</w:t>
            </w:r>
          </w:p>
        </w:tc>
      </w:tr>
      <w:tr>
        <w:trPr>
          <w:cantSplit/>
        </w:trPr>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Manual smoke scripts</w:t>
            </w:r>
          </w:p>
        </w:tc>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4 present</w:t>
            </w:r>
          </w:p>
        </w:tc>
        <w:tc>
          <w:tcPr>
            <w:tcW w:type="pct" w:w="5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test_sidecar.cjs, test_v2.cjs, gateway/test_v2.cjs, gateway/test_ws.py</w:t>
            </w:r>
          </w:p>
        </w:tc>
      </w:tr>
    </w:tbl>
    <w:p>
      <w:pPr>
        <w:spacing w:after="120" w:line="312"/>
        <w:jc w:val="both"/>
      </w:pPr>
      <w:r>
        <w:rPr>
          <w:rFonts w:ascii="Times New Roman" w:eastAsia="Times New Roman"/>
          <w:color w:val="000000"/>
          <w:sz w:val="24"/>
          <w:szCs w:val="24"/>
        </w:rPr>
        <w:t xml:space="preserve">The four manual scripts are valuable as connectivity checks (AssemblyAI WebSocket reachability, sidecar startup with synthetic silence) but they are not a test suite: they assert nothing, are not repeatable in isolation, and three of them embed live credentials.</w:t>
      </w:r>
    </w:p>
    <w:p>
      <w:pPr>
        <w:pStyle w:val="Heading1"/>
      </w:pPr>
      <w:bookmarkStart w:id="100002" w:name="_Toc100002"/>
      <w:r>
        <w:t xml:space="preserve">3. Target Quality Model</w:t>
      </w:r>
      <w:bookmarkEnd w:id="100002"/>
    </w:p>
    <w:p>
      <w:pPr>
        <w:spacing w:after="120" w:line="312"/>
        <w:jc w:val="both"/>
      </w:pPr>
      <w:r>
        <w:rPr>
          <w:rFonts w:ascii="Times New Roman" w:eastAsia="Times New Roman"/>
          <w:color w:val="000000"/>
          <w:sz w:val="24"/>
          <w:szCs w:val="24"/>
        </w:rPr>
        <w:t xml:space="preserve">The target is a modest, proportionate test pyramid suited to a three-runtime desktop product. The emphasis is on fast, deterministic unit tests around the protocol and pipeline logic, with a thin layer of live-service integration tests that run only on demand.</w:t>
      </w:r>
    </w:p>
    <w:tbl>
      <w:tblPr>
        <w:tblW w:type="pct" w:w="100%"/>
        <w:tblBorders>
          <w:top w:val="single" w:color="DDD8CC" w:sz="2"/>
          <w:left w:val="single" w:color="DDD8CC" w:sz="2"/>
          <w:bottom w:val="single" w:color="DDD8CC" w:sz="2"/>
          <w:right w:val="single" w:color="DDD8CC" w:sz="2"/>
          <w:insideH w:val="none"/>
          <w:insideV w:val="none"/>
        </w:tblBorders>
        <w:tblLayout w:type="fixed"/>
      </w:tblPr>
      <w:tblGrid>
        <w:gridCol w:w="100"/>
      </w:tblGrid>
      <w:tr>
        <w:trPr>
          <w:cantSplit/>
        </w:trPr>
        <w:tc>
          <w:tcPr>
            <w:tcW w:type="pct" w:w="100%"/>
            <w:shd w:fill="F7F5F0" w:val="clear"/>
            <w:tcMar>
              <w:top w:type="dxa" w:w="100"/>
              <w:left w:type="dxa" w:w="160"/>
              <w:bottom w:type="dxa" w:w="100"/>
              <w:right w:type="dxa" w:w="160"/>
            </w:tcMar>
          </w:tcPr>
          <w:p>
            <w:pPr>
              <w:spacing w:after="20" w:line="312"/>
            </w:pPr>
            <w:r>
              <w:rPr>
                <w:rFonts w:ascii="Courier New" w:eastAsia="Courier New"/>
                <w:color w:val="1A1A1A"/>
                <w:sz w:val="18"/>
                <w:szCs w:val="18"/>
              </w:rPr>
              <w:t xml:space="preserve">        /  E2E  \        Tauri UI, few critical flows</w:t>
            </w:r>
          </w:p>
          <w:p>
            <w:pPr>
              <w:spacing w:after="20" w:line="312"/>
            </w:pPr>
            <w:r>
              <w:rPr>
                <w:rFonts w:ascii="Courier New" w:eastAsia="Courier New"/>
                <w:color w:val="1A1A1A"/>
                <w:sz w:val="18"/>
                <w:szCs w:val="18"/>
              </w:rPr>
              <w:t xml:space="preserve">       / Integration \   PCM1 framing, sidecar events, DB writes</w:t>
            </w:r>
          </w:p>
          <w:p>
            <w:pPr>
              <w:spacing w:after="20" w:line="312"/>
            </w:pPr>
            <w:r>
              <w:rPr>
                <w:rFonts w:ascii="Courier New" w:eastAsia="Courier New"/>
                <w:color w:val="1A1A1A"/>
                <w:sz w:val="18"/>
                <w:szCs w:val="18"/>
              </w:rPr>
              <w:t xml:space="preserve">      /     Unit       \ Pure logic: framing, gating, prompts, mixer</w:t>
            </w:r>
          </w:p>
          <w:p>
            <w:pPr>
              <w:spacing w:after="20" w:line="312"/>
            </w:pPr>
            <w:r>
              <w:rPr>
                <w:rFonts w:ascii="Courier New" w:eastAsia="Courier New"/>
                <w:color w:val="1A1A1A"/>
                <w:sz w:val="18"/>
                <w:szCs w:val="18"/>
              </w:rPr>
              <w:t xml:space="preserve">     /__________________\</w:t>
            </w:r>
          </w:p>
        </w:tc>
      </w:tr>
    </w:tbl>
    <w:p>
      <w:pPr>
        <w:pStyle w:val="Heading1"/>
      </w:pPr>
      <w:bookmarkStart w:id="100003" w:name="_Toc100003"/>
      <w:r>
        <w:t xml:space="preserve">4. Proposed Test Architecture</w:t>
      </w:r>
      <w:bookmarkEnd w:id="100003"/>
    </w:p>
    <w:p>
      <w:pPr>
        <w:pStyle w:val="Heading2"/>
      </w:pPr>
      <w:bookmarkStart w:id="100004" w:name="_Toc100004"/>
      <w:r>
        <w:t xml:space="preserve">4.1 Unit Tests</w:t>
      </w:r>
      <w:bookmarkEnd w:id="100004"/>
    </w:p>
    <w:p>
      <w:pPr>
        <w:keepNext/>
        <w:spacing w:after="80" w:before="200" w:line="312"/>
      </w:pPr>
      <w:r>
        <w:rPr>
          <w:rFonts w:ascii="Times New Roman" w:eastAsia="Times New Roman"/>
          <w:b/>
          <w:bCs/>
          <w:color w:val="404040"/>
          <w:sz w:val="21"/>
          <w:szCs w:val="21"/>
        </w:rPr>
        <w:t xml:space="preserve">Table 24 — Unit Test Scope by Runtime</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tblGrid>
      <w:tr>
        <w:trPr>
          <w:cantSplit/>
          <w:tblHeader/>
        </w:trPr>
        <w:tc>
          <w:tcPr>
            <w:tcW w:type="pct" w:w="1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Runtime</w:t>
            </w:r>
          </w:p>
        </w:tc>
        <w:tc>
          <w:tcPr>
            <w:tcW w:type="pct" w:w="2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Framework (suggested)</w:t>
            </w:r>
          </w:p>
        </w:tc>
        <w:tc>
          <w:tcPr>
            <w:tcW w:type="pct" w:w="5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Scope</w:t>
            </w:r>
          </w:p>
        </w:tc>
      </w:tr>
      <w:tr>
        <w:trPr>
          <w:cantSplit/>
        </w:trPr>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Rust</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cargo test (built-in)</w:t>
            </w:r>
          </w:p>
        </w:tc>
        <w:tc>
          <w:tcPr>
            <w:tcW w:type="pct" w:w="58%"/>
            <w:tcMar>
              <w:top w:type="dxa" w:w="60"/>
              <w:left w:type="dxa" w:w="120"/>
              <w:bottom w:type="dxa" w:w="60"/>
              <w:right w:type="dxa" w:w="120"/>
            </w:tcMar>
          </w:tcPr>
          <w:p>
            <w:pPr>
              <w:spacing w:after="0" w:line="312"/>
            </w:pPr>
            <w:r>
              <w:rPr>
                <w:rFonts w:ascii="Times New Roman" w:eastAsia="Times New Roman"/>
                <w:color w:val="000000"/>
                <w:sz w:val="21"/>
                <w:szCs w:val="21"/>
              </w:rPr>
              <w:t xml:space="preserve">streaming.rs frame emission (header/payload correctness, 250 ms chunking, final short chunk); resample.rs block buffering and flush; audio.rs downmix and clamp arithmetic</w:t>
            </w:r>
          </w:p>
        </w:tc>
      </w:tr>
      <w:tr>
        <w:trPr>
          <w:cantSplit/>
        </w:trPr>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Node sidecar</w:t>
            </w:r>
          </w:p>
        </w:tc>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Vitest or Node's built-in test runner</w:t>
            </w:r>
          </w:p>
        </w:tc>
        <w:tc>
          <w:tcPr>
            <w:tcW w:type="pct" w:w="5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sidecar.js frame parser (corrupt magic, oversized payload, split-frame reassembly); agent.js significance gating and circuit-breaker thresholds; db.js batch assembly and degradation</w:t>
            </w:r>
          </w:p>
        </w:tc>
      </w:tr>
      <w:tr>
        <w:trPr>
          <w:cantSplit/>
        </w:trPr>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Frontend</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Vitest + happy-dom or jsdom</w:t>
            </w:r>
          </w:p>
        </w:tc>
        <w:tc>
          <w:tcPr>
            <w:tcW w:type="pct" w:w="58%"/>
            <w:tcMar>
              <w:top w:type="dxa" w:w="60"/>
              <w:left w:type="dxa" w:w="120"/>
              <w:bottom w:type="dxa" w:w="60"/>
              <w:right w:type="dxa" w:w="120"/>
            </w:tcMar>
          </w:tcPr>
          <w:p>
            <w:pPr>
              <w:spacing w:after="0" w:line="312"/>
            </w:pPr>
            <w:r>
              <w:rPr>
                <w:rFonts w:ascii="Times New Roman" w:eastAsia="Times New Roman"/>
                <w:color w:val="000000"/>
                <w:sz w:val="21"/>
                <w:szCs w:val="21"/>
              </w:rPr>
              <w:t xml:space="preserve">main.ts event-to-DOM mapping for each of the nine event types; status indicator transitions</w:t>
            </w:r>
          </w:p>
        </w:tc>
      </w:tr>
    </w:tbl>
    <w:p>
      <w:pPr>
        <w:pStyle w:val="Heading2"/>
      </w:pPr>
      <w:bookmarkStart w:id="100005" w:name="_Toc100005"/>
      <w:r>
        <w:t xml:space="preserve">4.2 Integration Tests</w:t>
      </w:r>
      <w:bookmarkEnd w:id="100005"/>
    </w:p>
    <w:p>
      <w:pPr>
        <w:pStyle w:val="ListParagraph"/>
        <w:numPr>
          <w:ilvl w:val="0"/>
          <w:numId w:val="1"/>
        </w:numPr>
        <w:spacing w:after="60" w:line="312"/>
      </w:pPr>
      <w:r>
        <w:rPr>
          <w:rFonts w:ascii="Times New Roman" w:eastAsia="Times New Roman"/>
          <w:color w:val="000000"/>
          <w:sz w:val="24"/>
          <w:szCs w:val="24"/>
        </w:rPr>
        <w:t xml:space="preserve">PCM1 round-trip: emit known samples from the Rust sink and assert byte-exact frames consumed by a reference parser.</w:t>
      </w:r>
    </w:p>
    <w:p>
      <w:pPr>
        <w:pStyle w:val="ListParagraph"/>
        <w:numPr>
          <w:ilvl w:val="0"/>
          <w:numId w:val="1"/>
        </w:numPr>
        <w:spacing w:after="60" w:line="312"/>
      </w:pPr>
      <w:r>
        <w:rPr>
          <w:rFonts w:ascii="Times New Roman" w:eastAsia="Times New Roman"/>
          <w:color w:val="000000"/>
          <w:sz w:val="24"/>
          <w:szCs w:val="24"/>
        </w:rPr>
        <w:t xml:space="preserve">Sidecar event contract: feed synthetic frames into a sidecar with a stubbed STT client; assert the emitted JSON event sequence matches AMI-DAI-005.</w:t>
      </w:r>
    </w:p>
    <w:p>
      <w:pPr>
        <w:pStyle w:val="ListParagraph"/>
        <w:numPr>
          <w:ilvl w:val="0"/>
          <w:numId w:val="1"/>
        </w:numPr>
        <w:spacing w:after="60" w:line="312"/>
      </w:pPr>
      <w:r>
        <w:rPr>
          <w:rFonts w:ascii="Times New Roman" w:eastAsia="Times New Roman"/>
          <w:color w:val="000000"/>
          <w:sz w:val="24"/>
          <w:szCs w:val="24"/>
        </w:rPr>
        <w:t xml:space="preserve">Database writes: run db.js against a throwaway PostgreSQL (containerised); assert batched inserts and schema creation.</w:t>
      </w:r>
    </w:p>
    <w:p>
      <w:pPr>
        <w:pStyle w:val="ListParagraph"/>
        <w:numPr>
          <w:ilvl w:val="0"/>
          <w:numId w:val="1"/>
        </w:numPr>
        <w:spacing w:after="60" w:line="312"/>
      </w:pPr>
      <w:r>
        <w:rPr>
          <w:rFonts w:ascii="Times New Roman" w:eastAsia="Times New Roman"/>
          <w:color w:val="000000"/>
          <w:sz w:val="24"/>
          <w:szCs w:val="24"/>
        </w:rPr>
        <w:t xml:space="preserve">These should run against mocks/stubs by default; live AssemblyAI/Gemini connectivity checks remain opt-in and gated on credentials.</w:t>
      </w:r>
    </w:p>
    <w:p>
      <w:pPr>
        <w:pStyle w:val="Heading2"/>
      </w:pPr>
      <w:bookmarkStart w:id="100006" w:name="_Toc100006"/>
      <w:r>
        <w:t xml:space="preserve">4.3 End-to-End Tests</w:t>
      </w:r>
      <w:bookmarkEnd w:id="100006"/>
    </w:p>
    <w:p>
      <w:pPr>
        <w:spacing w:after="120" w:line="312"/>
        <w:jc w:val="both"/>
      </w:pPr>
      <w:r>
        <w:rPr>
          <w:rFonts w:ascii="Times New Roman" w:eastAsia="Times New Roman"/>
          <w:color w:val="000000"/>
          <w:sz w:val="24"/>
          <w:szCs w:val="24"/>
        </w:rPr>
        <w:t xml:space="preserve">Tauri provides a WebDriver-based driver for UI automation. A small E2E layer should cover: window launch, Start/Stop control transitions, and the status indicator lifecycle. Full audio-to-transcript E2E requires a virtual audio device and live services; treat it as a manual release-acceptance step rather than a CI gate at this stage.</w:t>
      </w:r>
    </w:p>
    <w:p>
      <w:pPr>
        <w:pStyle w:val="Heading1"/>
      </w:pPr>
      <w:bookmarkStart w:id="100007" w:name="_Toc100007"/>
      <w:r>
        <w:t xml:space="preserve">5. CI/CD Pipeline Design</w:t>
      </w:r>
      <w:bookmarkEnd w:id="100007"/>
    </w:p>
    <w:p>
      <w:pPr>
        <w:spacing w:after="120" w:line="312"/>
        <w:jc w:val="both"/>
      </w:pPr>
      <w:r>
        <w:rPr>
          <w:rFonts w:ascii="Times New Roman" w:eastAsia="Times New Roman"/>
          <w:color w:val="000000"/>
          <w:sz w:val="24"/>
          <w:szCs w:val="24"/>
        </w:rPr>
        <w:t xml:space="preserve">No pipeline exists today. The recommended minimal pipeline has three stages triggered on every push and pull request, using a hosted runner with Rust and Node toolchains.</w:t>
      </w:r>
    </w:p>
    <w:p>
      <w:pPr>
        <w:keepNext/>
        <w:spacing w:after="80" w:before="200" w:line="312"/>
      </w:pPr>
      <w:r>
        <w:rPr>
          <w:rFonts w:ascii="Times New Roman" w:eastAsia="Times New Roman"/>
          <w:b/>
          <w:bCs/>
          <w:color w:val="404040"/>
          <w:sz w:val="21"/>
          <w:szCs w:val="21"/>
        </w:rPr>
        <w:t xml:space="preserve">Table 25 — Recommended Pipeline Stages</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tblGrid>
      <w:tr>
        <w:trPr>
          <w:cantSplit/>
          <w:tblHeader/>
        </w:trPr>
        <w:tc>
          <w:tcPr>
            <w:tcW w:type="pct" w:w="1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Stage</w:t>
            </w:r>
          </w:p>
        </w:tc>
        <w:tc>
          <w:tcPr>
            <w:tcW w:type="pct" w:w="5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Jobs</w:t>
            </w:r>
          </w:p>
        </w:tc>
        <w:tc>
          <w:tcPr>
            <w:tcW w:type="pct" w:w="30%"/>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Gate</w:t>
            </w:r>
          </w:p>
        </w:tc>
      </w:tr>
      <w:tr>
        <w:trPr>
          <w:cantSplit/>
        </w:trPr>
        <w:tc>
          <w:tcPr>
            <w:tcW w:type="pct" w:w="14%"/>
            <w:tcMar>
              <w:top w:type="dxa" w:w="60"/>
              <w:left w:type="dxa" w:w="120"/>
              <w:bottom w:type="dxa" w:w="60"/>
              <w:right w:type="dxa" w:w="120"/>
            </w:tcMar>
          </w:tcPr>
          <w:p>
            <w:pPr>
              <w:spacing w:after="0" w:line="312"/>
            </w:pPr>
            <w:r>
              <w:rPr>
                <w:rFonts w:ascii="Times New Roman" w:eastAsia="Times New Roman"/>
                <w:color w:val="000000"/>
                <w:sz w:val="21"/>
                <w:szCs w:val="21"/>
              </w:rPr>
              <w:t xml:space="preserve">1. Verify</w:t>
            </w:r>
          </w:p>
        </w:tc>
        <w:tc>
          <w:tcPr>
            <w:tcW w:type="pct" w:w="56%"/>
            <w:tcMar>
              <w:top w:type="dxa" w:w="60"/>
              <w:left w:type="dxa" w:w="120"/>
              <w:bottom w:type="dxa" w:w="60"/>
              <w:right w:type="dxa" w:w="120"/>
            </w:tcMar>
          </w:tcPr>
          <w:p>
            <w:pPr>
              <w:spacing w:after="0" w:line="312"/>
            </w:pPr>
            <w:r>
              <w:rPr>
                <w:rFonts w:ascii="Times New Roman" w:eastAsia="Times New Roman"/>
                <w:color w:val="000000"/>
                <w:sz w:val="21"/>
                <w:szCs w:val="21"/>
              </w:rPr>
              <w:t xml:space="preserve">Rust cargo fmt check, clippy, cargo test; JS lint; TS typecheck (tsc --noEmit)</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Fail fast on any error</w:t>
            </w:r>
          </w:p>
        </w:tc>
      </w:tr>
      <w:tr>
        <w:trPr>
          <w:cantSplit/>
        </w:trPr>
        <w:tc>
          <w:tcPr>
            <w:tcW w:type="pct" w:w="1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2. Test</w:t>
            </w:r>
          </w:p>
        </w:tc>
        <w:tc>
          <w:tcPr>
            <w:tcW w:type="pct" w:w="5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Unit tests (all runtimes); integration tests against ephemeral PostgreSQL</w:t>
            </w:r>
          </w:p>
        </w:tc>
        <w:tc>
          <w:tcPr>
            <w:tcW w:type="pct" w:w="3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Coverage not enforced initially</w:t>
            </w:r>
          </w:p>
        </w:tc>
      </w:tr>
      <w:tr>
        <w:trPr>
          <w:cantSplit/>
        </w:trPr>
        <w:tc>
          <w:tcPr>
            <w:tcW w:type="pct" w:w="14%"/>
            <w:tcMar>
              <w:top w:type="dxa" w:w="60"/>
              <w:left w:type="dxa" w:w="120"/>
              <w:bottom w:type="dxa" w:w="60"/>
              <w:right w:type="dxa" w:w="120"/>
            </w:tcMar>
          </w:tcPr>
          <w:p>
            <w:pPr>
              <w:spacing w:after="0" w:line="312"/>
            </w:pPr>
            <w:r>
              <w:rPr>
                <w:rFonts w:ascii="Times New Roman" w:eastAsia="Times New Roman"/>
                <w:color w:val="000000"/>
                <w:sz w:val="21"/>
                <w:szCs w:val="21"/>
              </w:rPr>
              <w:t xml:space="preserve">3. Guard</w:t>
            </w:r>
          </w:p>
        </w:tc>
        <w:tc>
          <w:tcPr>
            <w:tcW w:type="pct" w:w="56%"/>
            <w:tcMar>
              <w:top w:type="dxa" w:w="60"/>
              <w:left w:type="dxa" w:w="120"/>
              <w:bottom w:type="dxa" w:w="60"/>
              <w:right w:type="dxa" w:w="120"/>
            </w:tcMar>
          </w:tcPr>
          <w:p>
            <w:pPr>
              <w:spacing w:after="0" w:line="312"/>
            </w:pPr>
            <w:r>
              <w:rPr>
                <w:rFonts w:ascii="Times New Roman" w:eastAsia="Times New Roman"/>
                <w:color w:val="000000"/>
                <w:sz w:val="21"/>
                <w:szCs w:val="21"/>
              </w:rPr>
              <w:t xml:space="preserve">Secret scan (gitleaks); dependency audit; build gateway bundle</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Block merge on secret detection</w:t>
            </w:r>
          </w:p>
        </w:tc>
      </w:tr>
    </w:tbl>
    <w:p>
      <w:pPr>
        <w:spacing w:after="120" w:line="312"/>
        <w:jc w:val="both"/>
      </w:pPr>
      <w:r>
        <w:rPr>
          <w:rFonts w:ascii="Times New Roman" w:eastAsia="Times New Roman"/>
          <w:color w:val="000000"/>
          <w:sz w:val="24"/>
          <w:szCs w:val="24"/>
        </w:rPr>
        <w:t xml:space="preserve">A nightly or on-demand build job should produce the Tauri installer artefacts for the host platform. Release signing and notarisation are out of scope for the initial pipeline but should be planned before external distribution.</w:t>
      </w:r>
    </w:p>
    <w:p>
      <w:pPr>
        <w:pStyle w:val="Heading1"/>
      </w:pPr>
      <w:bookmarkStart w:id="100008" w:name="_Toc100008"/>
      <w:r>
        <w:t xml:space="preserve">6. Quality Gates and Acceptance Criteria</w:t>
      </w:r>
      <w:bookmarkEnd w:id="100008"/>
    </w:p>
    <w:p>
      <w:pPr>
        <w:keepNext/>
        <w:spacing w:after="80" w:before="200" w:line="312"/>
      </w:pPr>
      <w:r>
        <w:rPr>
          <w:rFonts w:ascii="Times New Roman" w:eastAsia="Times New Roman"/>
          <w:b/>
          <w:bCs/>
          <w:color w:val="404040"/>
          <w:sz w:val="21"/>
          <w:szCs w:val="21"/>
        </w:rPr>
        <w:t xml:space="preserve">Table 26 — Definition of Done (proposed)</w:t>
      </w:r>
    </w:p>
    <w:tbl>
      <w:tblPr>
        <w:tblW w:type="pct" w:w="100%"/>
        <w:tblBorders>
          <w:top w:val="single" w:color="000000" w:sz="2"/>
          <w:left w:val="none"/>
          <w:bottom w:val="single" w:color="000000" w:sz="2"/>
          <w:right w:val="none"/>
          <w:insideH w:val="single" w:color="DDD8CC" w:sz="1"/>
          <w:insideV w:val="none"/>
        </w:tblBorders>
      </w:tblPr>
      <w:tblGrid>
        <w:gridCol w:w="100"/>
        <w:gridCol w:w="100"/>
      </w:tblGrid>
      <w:tr>
        <w:trPr>
          <w:cantSplit/>
          <w:tblHeader/>
        </w:trPr>
        <w:tc>
          <w:tcPr>
            <w:tcW w:type="pct" w:w="2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Gate</w:t>
            </w:r>
          </w:p>
        </w:tc>
        <w:tc>
          <w:tcPr>
            <w:tcW w:type="pct" w:w="7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Criterion</w:t>
            </w:r>
          </w:p>
        </w:tc>
      </w:tr>
      <w:tr>
        <w:trPr>
          <w:cantSplit/>
        </w:trPr>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Code quality</w:t>
            </w:r>
          </w:p>
        </w:tc>
        <w:tc>
          <w:tcPr>
            <w:tcW w:type="pct" w:w="78%"/>
            <w:tcMar>
              <w:top w:type="dxa" w:w="60"/>
              <w:left w:type="dxa" w:w="120"/>
              <w:bottom w:type="dxa" w:w="60"/>
              <w:right w:type="dxa" w:w="120"/>
            </w:tcMar>
          </w:tcPr>
          <w:p>
            <w:pPr>
              <w:spacing w:after="0" w:line="312"/>
            </w:pPr>
            <w:r>
              <w:rPr>
                <w:rFonts w:ascii="Times New Roman" w:eastAsia="Times New Roman"/>
                <w:color w:val="000000"/>
                <w:sz w:val="21"/>
                <w:szCs w:val="21"/>
              </w:rPr>
              <w:t xml:space="preserve">No new clippy/lint errors; TypeScript strict checks pass</w:t>
            </w:r>
          </w:p>
        </w:tc>
      </w:tr>
      <w:tr>
        <w:trPr>
          <w:cantSplit/>
        </w:trPr>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Tests</w:t>
            </w:r>
          </w:p>
        </w:tc>
        <w:tc>
          <w:tcPr>
            <w:tcW w:type="pct" w:w="7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New logic ships with unit tests; pipeline green</w:t>
            </w:r>
          </w:p>
        </w:tc>
      </w:tr>
      <w:tr>
        <w:trPr>
          <w:cantSplit/>
        </w:trPr>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Secrets</w:t>
            </w:r>
          </w:p>
        </w:tc>
        <w:tc>
          <w:tcPr>
            <w:tcW w:type="pct" w:w="78%"/>
            <w:tcMar>
              <w:top w:type="dxa" w:w="60"/>
              <w:left w:type="dxa" w:w="120"/>
              <w:bottom w:type="dxa" w:w="60"/>
              <w:right w:type="dxa" w:w="120"/>
            </w:tcMar>
          </w:tcPr>
          <w:p>
            <w:pPr>
              <w:spacing w:after="0" w:line="312"/>
            </w:pPr>
            <w:r>
              <w:rPr>
                <w:rFonts w:ascii="Times New Roman" w:eastAsia="Times New Roman"/>
                <w:color w:val="000000"/>
                <w:sz w:val="21"/>
                <w:szCs w:val="21"/>
              </w:rPr>
              <w:t xml:space="preserve">No credentials in diffs (scanner enforced)</w:t>
            </w:r>
          </w:p>
        </w:tc>
      </w:tr>
      <w:tr>
        <w:trPr>
          <w:cantSplit/>
        </w:trPr>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Docs</w:t>
            </w:r>
          </w:p>
        </w:tc>
        <w:tc>
          <w:tcPr>
            <w:tcW w:type="pct" w:w="7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Public interface changes reflected in AMI-DAI-005</w:t>
            </w:r>
          </w:p>
        </w:tc>
      </w:tr>
      <w:tr>
        <w:trPr>
          <w:cantSplit/>
        </w:trPr>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Release</w:t>
            </w:r>
          </w:p>
        </w:tc>
        <w:tc>
          <w:tcPr>
            <w:tcW w:type="pct" w:w="78%"/>
            <w:tcMar>
              <w:top w:type="dxa" w:w="60"/>
              <w:left w:type="dxa" w:w="120"/>
              <w:bottom w:type="dxa" w:w="60"/>
              <w:right w:type="dxa" w:w="120"/>
            </w:tcMar>
          </w:tcPr>
          <w:p>
            <w:pPr>
              <w:spacing w:after="0" w:line="312"/>
            </w:pPr>
            <w:r>
              <w:rPr>
                <w:rFonts w:ascii="Times New Roman" w:eastAsia="Times New Roman"/>
                <w:color w:val="000000"/>
                <w:sz w:val="21"/>
                <w:szCs w:val="21"/>
              </w:rPr>
              <w:t xml:space="preserve">Manual audio acceptance pass recorded; installer builds and launches</w:t>
            </w:r>
          </w:p>
        </w:tc>
      </w:tr>
    </w:tbl>
    <w:p>
      <w:pPr>
        <w:pStyle w:val="Heading1"/>
      </w:pPr>
      <w:bookmarkStart w:id="100009" w:name="_Toc100009"/>
      <w:r>
        <w:t xml:space="preserve">7. Phased Roadmap</w:t>
      </w:r>
      <w:bookmarkEnd w:id="100009"/>
    </w:p>
    <w:p>
      <w:pPr>
        <w:keepNext/>
        <w:spacing w:after="80" w:before="200" w:line="312"/>
      </w:pPr>
      <w:r>
        <w:rPr>
          <w:rFonts w:ascii="Times New Roman" w:eastAsia="Times New Roman"/>
          <w:b/>
          <w:bCs/>
          <w:color w:val="404040"/>
          <w:sz w:val="21"/>
          <w:szCs w:val="21"/>
        </w:rPr>
        <w:t xml:space="preserve">Table 27 — Quality Roadmap</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tblGrid>
      <w:tr>
        <w:trPr>
          <w:cantSplit/>
          <w:tblHeader/>
        </w:trPr>
        <w:tc>
          <w:tcPr>
            <w:tcW w:type="pct" w:w="2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Phase</w:t>
            </w:r>
          </w:p>
        </w:tc>
        <w:tc>
          <w:tcPr>
            <w:tcW w:type="pct" w:w="1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Horizon</w:t>
            </w:r>
          </w:p>
        </w:tc>
        <w:tc>
          <w:tcPr>
            <w:tcW w:type="pct" w:w="6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Deliverables</w:t>
            </w:r>
          </w:p>
        </w:tc>
      </w:tr>
      <w:tr>
        <w:trPr>
          <w:cantSplit/>
        </w:trPr>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Phase 1 — Foundations</w:t>
            </w:r>
          </w:p>
        </w:tc>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Weeks 1–2</w:t>
            </w:r>
          </w:p>
        </w:tc>
        <w:tc>
          <w:tcPr>
            <w:tcW w:type="pct" w:w="62%"/>
            <w:tcMar>
              <w:top w:type="dxa" w:w="60"/>
              <w:left w:type="dxa" w:w="120"/>
              <w:bottom w:type="dxa" w:w="60"/>
              <w:right w:type="dxa" w:w="120"/>
            </w:tcMar>
          </w:tcPr>
          <w:p>
            <w:pPr>
              <w:spacing w:after="0" w:line="312"/>
            </w:pPr>
            <w:r>
              <w:rPr>
                <w:rFonts w:ascii="Times New Roman" w:eastAsia="Times New Roman"/>
                <w:color w:val="000000"/>
                <w:sz w:val="21"/>
                <w:szCs w:val="21"/>
              </w:rPr>
              <w:t xml:space="preserve">Remove credentials from test scripts; add secret scanner; commit gateway lockfile; stand up CI Verify stage</w:t>
            </w:r>
          </w:p>
        </w:tc>
      </w:tr>
      <w:tr>
        <w:trPr>
          <w:cantSplit/>
        </w:trPr>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Phase 2 — Core tests</w:t>
            </w:r>
          </w:p>
        </w:tc>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Weeks 3–5</w:t>
            </w:r>
          </w:p>
        </w:tc>
        <w:tc>
          <w:tcPr>
            <w:tcW w:type="pct" w:w="6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Unit tests for framing, gating, circuit breaker and mixer; CI Test stage; ephemeral DB for integration tests</w:t>
            </w:r>
          </w:p>
        </w:tc>
      </w:tr>
      <w:tr>
        <w:trPr>
          <w:cantSplit/>
        </w:trPr>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Phase 3 — Confidence</w:t>
            </w:r>
          </w:p>
        </w:tc>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Weeks 6–8</w:t>
            </w:r>
          </w:p>
        </w:tc>
        <w:tc>
          <w:tcPr>
            <w:tcW w:type="pct" w:w="62%"/>
            <w:tcMar>
              <w:top w:type="dxa" w:w="60"/>
              <w:left w:type="dxa" w:w="120"/>
              <w:bottom w:type="dxa" w:w="60"/>
              <w:right w:type="dxa" w:w="120"/>
            </w:tcMar>
          </w:tcPr>
          <w:p>
            <w:pPr>
              <w:spacing w:after="0" w:line="312"/>
            </w:pPr>
            <w:r>
              <w:rPr>
                <w:rFonts w:ascii="Times New Roman" w:eastAsia="Times New Roman"/>
                <w:color w:val="000000"/>
                <w:sz w:val="21"/>
                <w:szCs w:val="21"/>
              </w:rPr>
              <w:t xml:space="preserve">Frontend event-mapping tests; Tauri WebDriver E2E smoke; coverage baseline; release build job</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2" w:space="4"/>
      </w:pBdr>
      <w:jc w:val="right"/>
    </w:pPr>
    <w:r>
      <w:rPr>
        <w:rFonts w:ascii="Times New Roman" w:eastAsia="Times New Roman"/>
        <w:color w:val="A0A0A0"/>
        <w:sz w:val="16"/>
        <w:szCs w:val="16"/>
      </w:rPr>
      <w:t xml:space="preserve">Quality and Test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Times New Roman"/>
      <w:b/>
      <w:bCs/>
      <w:color w:val="000000"/>
      <w:sz w:val="32"/>
      <w:szCs w:val="32"/>
    </w:rPr>
  </w:style>
  <w:style w:type="paragraph" w:styleId="Heading2">
    <w:name w:val="Heading 2"/>
    <w:basedOn w:val="Normal"/>
    <w:next w:val="Normal"/>
    <w:qFormat/>
    <w:pPr>
      <w:spacing w:after="120" w:before="280" w:line="312"/>
      <w:outlineLvl w:val="1"/>
    </w:pPr>
    <w:rPr>
      <w:rFonts w:ascii="Times New Roman" w:eastAsia="Times New Roman"/>
      <w:b/>
      <w:bCs/>
      <w:color w:val="000000"/>
      <w:sz w:val="28"/>
      <w:szCs w:val="28"/>
    </w:rPr>
  </w:style>
  <w:style w:type="paragraph" w:styleId="Heading3">
    <w:name w:val="Heading 3"/>
    <w:basedOn w:val="Normal"/>
    <w:next w:val="Normal"/>
    <w:qFormat/>
    <w:pPr>
      <w:spacing w:after="100" w:before="240" w:line="312"/>
      <w:outlineLvl w:val="2"/>
    </w:pPr>
    <w:rPr>
      <w:rFonts w:ascii="Times New Roman" w:eastAsia="Times New Roman"/>
      <w:b/>
      <w:bCs/>
      <w:color w:val="1A1A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and Test Strategy</dc:title>
  <dc:creator>Technology Advisory Practice</dc:creator>
  <cp:lastModifiedBy>Un-named</cp:lastModifiedBy>
  <cp:revision>1</cp:revision>
  <dcterms:created xsi:type="dcterms:W3CDTF">2026-08-18T04:50:54.258Z</dcterms:created>
  <dcterms:modified xsi:type="dcterms:W3CDTF">2026-08-18T04:50:54.258Z</dcterms:modified>
</cp:coreProperties>
</file>

<file path=docProps/custom.xml><?xml version="1.0" encoding="utf-8"?>
<Properties xmlns="http://schemas.openxmlformats.org/officeDocument/2006/custom-properties" xmlns:vt="http://schemas.openxmlformats.org/officeDocument/2006/docPropsVTypes"/>
</file>