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F3F1ED" w:val="clear"/>
            <w:vAlign w:val="top"/>
          </w:tcPr>
          <w:p>
            <w:pPr>
              <w:spacing w:before="4241"/>
            </w:pPr>
          </w:p>
          <w:p>
            <w:pPr>
              <w:pBdr>
                <w:bottom w:val="single" w:color="D6C096" w:sz="6" w:space="8"/>
              </w:pBdr>
              <w:spacing w:after="500"/>
              <w:ind w:left="1200" w:right="800"/>
            </w:pPr>
            <w:r>
              <w:rPr>
                <w:rFonts w:ascii="Times New Roman" w:eastAsia="Times New Roman"/>
                <w:color w:val="9A8455"/>
                <w:spacing w:val="40"/>
                <w:sz w:val="18"/>
                <w:szCs w:val="18"/>
              </w:rPr>
              <w:t xml:space="preserve">T  E  C  H  N  O  L  O  G  Y     A  D  V  I  S  O  R  Y</w:t>
            </w:r>
          </w:p>
          <w:p>
            <w:pPr>
              <w:spacing w:after="100" w:line="920" w:lineRule="atLeast"/>
              <w:ind w:left="1200"/>
            </w:pPr>
            <w:r>
              <w:rPr>
                <w:rFonts w:ascii="Times New Roman" w:eastAsia="Times New Roman"/>
                <w:b/>
                <w:bCs/>
                <w:color w:val="000000"/>
                <w:sz w:val="80"/>
                <w:szCs w:val="80"/>
              </w:rPr>
              <w:t xml:space="preserve">Vendor and Cost</w:t>
            </w:r>
          </w:p>
          <w:p>
            <w:pPr>
              <w:spacing w:after="300" w:line="920" w:lineRule="atLeast"/>
              <w:ind w:left="1200"/>
            </w:pPr>
            <w:r>
              <w:rPr>
                <w:rFonts w:ascii="Times New Roman" w:eastAsia="Times New Roman"/>
                <w:b/>
                <w:bCs/>
                <w:color w:val="000000"/>
                <w:sz w:val="80"/>
                <w:szCs w:val="80"/>
              </w:rPr>
              <w:t xml:space="preserve">Analysis</w:t>
            </w:r>
          </w:p>
          <w:p>
            <w:pPr>
              <w:spacing w:after="800"/>
              <w:ind w:left="1200"/>
            </w:pPr>
            <w:r>
              <w:rPr>
                <w:rFonts w:ascii="Times New Roman" w:eastAsia="Times New Roman"/>
                <w:color w:val="606060"/>
                <w:sz w:val="24"/>
                <w:szCs w:val="24"/>
              </w:rPr>
              <w:t xml:space="preserve">AI Meeting Interpreter — Third-Party Services, Cost Model and Lock-In</w:t>
            </w:r>
          </w:p>
          <w:p>
            <w:pPr>
              <w:pBdr>
                <w:left w:val="single" w:color="D6C096" w:sz="8" w:space="12"/>
              </w:pBdr>
              <w:spacing w:after="80"/>
              <w:ind w:left="1400"/>
            </w:pPr>
            <w:r>
              <w:rPr>
                <w:rFonts w:ascii="Times New Roman" w:eastAsia="Times New Roman"/>
                <w:color w:val="707070"/>
                <w:sz w:val="24"/>
                <w:szCs w:val="24"/>
              </w:rPr>
              <w:t xml:space="preserve">Document AMI-VCA-009  ·  Version 1.0</w:t>
            </w:r>
          </w:p>
          <w:p>
            <w:pPr>
              <w:pBdr>
                <w:left w:val="single" w:color="D6C096" w:sz="8" w:space="12"/>
              </w:pBdr>
              <w:spacing w:after="80"/>
              <w:ind w:left="1400"/>
            </w:pPr>
            <w:r>
              <w:rPr>
                <w:rFonts w:ascii="Times New Roman" w:eastAsia="Times New Roman"/>
                <w:color w:val="707070"/>
                <w:sz w:val="24"/>
                <w:szCs w:val="24"/>
              </w:rPr>
              <w:t xml:space="preserve">Date of issue: 18 August 2026</w:t>
            </w:r>
          </w:p>
          <w:p>
            <w:pPr>
              <w:pBdr>
                <w:left w:val="single" w:color="D6C096" w:sz="8" w:space="12"/>
              </w:pBdr>
              <w:spacing w:after="80"/>
              <w:ind w:left="1400"/>
            </w:pPr>
            <w:r>
              <w:rPr>
                <w:rFonts w:ascii="Times New Roman" w:eastAsia="Times New Roman"/>
                <w:color w:val="707070"/>
                <w:sz w:val="24"/>
                <w:szCs w:val="24"/>
              </w:rPr>
              <w:t xml:space="preserve">Classification: Client Confidential</w:t>
            </w:r>
          </w:p>
          <w:p>
            <w:pPr>
              <w:spacing w:before="4241"/>
            </w:pPr>
          </w:p>
          <w:p>
            <w:pPr>
              <w:pBdr>
                <w:top w:val="single" w:color="D6C096" w:sz="2" w:space="8"/>
              </w:pBdr>
              <w:spacing w:before="200"/>
              <w:ind w:left="1200" w:right="800"/>
            </w:pPr>
            <w:r>
              <w:rPr>
                <w:rFonts w:ascii="Times New Roman" w:eastAsia="Times New Roman"/>
                <w:color w:val="A0A0A0"/>
                <w:sz w:val="16"/>
                <w:szCs w:val="16"/>
              </w:rPr>
              <w:t xml:space="preserve">AI Meeting Interpreter</w:t>
            </w:r>
            <w:r>
              <w:t xml:space="preserve">                                                        </w:t>
            </w:r>
            <w:r>
              <w:rPr>
                <w:rFonts w:ascii="Times New Roman" w:eastAsia="Times New Roman"/>
                <w:color w:val="A0A0A0"/>
                <w:sz w:val="16"/>
                <w:szCs w:val="16"/>
              </w:rPr>
              <w:t xml:space="preserve">18 August 2026</w:t>
            </w:r>
          </w:p>
        </w:tc>
      </w:tr>
    </w:tbl>
    <w:p>
      <w:pPr>
        <w:sectPr>
          <w:pgSz w:w="11906" w:h="16838" w:orient="portrait"/>
          <w:pgMar w:top="0" w:right="0" w:bottom="0" w:left="0" w:header="708" w:footer="708" w:gutter="0"/>
          <w:docGrid w:linePitch="360"/>
        </w:sectPr>
      </w:pPr>
    </w:p>
    <w:p>
      <w:pPr>
        <w:spacing w:after="240" w:before="120" w:line="312"/>
        <w:jc w:val="left"/>
      </w:pPr>
      <w:r>
        <w:rPr>
          <w:rFonts w:ascii="Times New Roman" w:eastAsia="Times New Roman"/>
          <w:b/>
          <w:bCs/>
          <w:color w:val="000000"/>
          <w:sz w:val="32"/>
          <w:szCs w:val="32"/>
        </w:rPr>
        <w:t xml:space="preserve">Document Control</w:t>
      </w:r>
    </w:p>
    <w:p>
      <w:pPr>
        <w:spacing w:after="120" w:line="312"/>
      </w:pPr>
      <w:r>
        <w:rPr>
          <w:rFonts w:ascii="Times New Roman" w:eastAsia="Times New Roman"/>
          <w:color w:val="404040"/>
          <w:sz w:val="22"/>
          <w:szCs w:val="22"/>
        </w:rPr>
        <w:t xml:space="preserve">The following table records the ownership, status and classification of this document.</w:t>
      </w:r>
    </w:p>
    <w:tbl>
      <w:tblPr>
        <w:tblW w:type="pct" w:w="100%"/>
        <w:tblBorders>
          <w:top w:val="single" w:color="000000" w:sz="2"/>
          <w:left w:val="none"/>
          <w:bottom w:val="single" w:color="000000" w:sz="2"/>
          <w:right w:val="none"/>
          <w:insideH w:val="single" w:color="DDD8CC" w:sz="1"/>
          <w:insideV w:val="none"/>
        </w:tblBorders>
      </w:tblPr>
      <w:tblGrid>
        <w:gridCol w:w="100"/>
        <w:gridCol w:w="100"/>
      </w:tblGrid>
      <w:tr>
        <w:trPr>
          <w:cantSplit/>
        </w:trPr>
        <w:tc>
          <w:tcPr>
            <w:tcW w:type="pct" w:w="32%"/>
            <w:shd w:fill="F5F3ED" w:val="clear"/>
            <w:tcMar>
              <w:top w:type="dxa" w:w="60"/>
              <w:left w:type="dxa" w:w="120"/>
              <w:bottom w:type="dxa" w:w="60"/>
              <w:right w:type="dxa" w:w="120"/>
            </w:tcMar>
          </w:tcPr>
          <w:p>
            <w:pPr>
              <w:spacing w:line="312"/>
            </w:pPr>
            <w:r>
              <w:rPr>
                <w:rFonts w:ascii="Times New Roman" w:eastAsia="Times New Roman"/>
                <w:b/>
                <w:bCs/>
                <w:color w:val="000000"/>
                <w:sz w:val="21"/>
                <w:szCs w:val="21"/>
              </w:rPr>
              <w:t xml:space="preserve">Document Title</w:t>
            </w:r>
          </w:p>
        </w:tc>
        <w:tc>
          <w:tcPr>
            <w:tcW w:type="pct" w:w="68%"/>
            <w:tcMar>
              <w:top w:type="dxa" w:w="60"/>
              <w:left w:type="dxa" w:w="120"/>
              <w:bottom w:type="dxa" w:w="60"/>
              <w:right w:type="dxa" w:w="120"/>
            </w:tcMar>
          </w:tcPr>
          <w:p>
            <w:pPr>
              <w:spacing w:after="0" w:line="312"/>
            </w:pPr>
            <w:r>
              <w:rPr>
                <w:rFonts w:ascii="Times New Roman" w:eastAsia="Times New Roman"/>
                <w:color w:val="000000"/>
                <w:sz w:val="21"/>
                <w:szCs w:val="21"/>
              </w:rPr>
              <w:t xml:space="preserve">Vendor &amp; Cost Analysis</w:t>
            </w:r>
          </w:p>
        </w:tc>
      </w:tr>
      <w:tr>
        <w:trPr>
          <w:cantSplit/>
        </w:trPr>
        <w:tc>
          <w:tcPr>
            <w:tcW w:type="pct" w:w="32%"/>
            <w:shd w:fill="F5F3ED" w:val="clear"/>
            <w:tcMar>
              <w:top w:type="dxa" w:w="60"/>
              <w:left w:type="dxa" w:w="120"/>
              <w:bottom w:type="dxa" w:w="60"/>
              <w:right w:type="dxa" w:w="120"/>
            </w:tcMar>
          </w:tcPr>
          <w:p>
            <w:pPr>
              <w:spacing w:line="312"/>
            </w:pPr>
            <w:r>
              <w:rPr>
                <w:rFonts w:ascii="Times New Roman" w:eastAsia="Times New Roman"/>
                <w:b/>
                <w:bCs/>
                <w:color w:val="000000"/>
                <w:sz w:val="21"/>
                <w:szCs w:val="21"/>
              </w:rPr>
              <w:t xml:space="preserve">Document Identifier</w:t>
            </w:r>
          </w:p>
        </w:tc>
        <w:tc>
          <w:tcPr>
            <w:tcW w:type="pct" w:w="68%"/>
            <w:tcMar>
              <w:top w:type="dxa" w:w="60"/>
              <w:left w:type="dxa" w:w="120"/>
              <w:bottom w:type="dxa" w:w="60"/>
              <w:right w:type="dxa" w:w="120"/>
            </w:tcMar>
          </w:tcPr>
          <w:p>
            <w:pPr>
              <w:spacing w:after="0" w:line="312"/>
            </w:pPr>
            <w:r>
              <w:rPr>
                <w:rFonts w:ascii="Times New Roman" w:eastAsia="Times New Roman"/>
                <w:color w:val="000000"/>
                <w:sz w:val="21"/>
                <w:szCs w:val="21"/>
              </w:rPr>
              <w:t xml:space="preserve">AMI-VCA-009</w:t>
            </w:r>
          </w:p>
        </w:tc>
      </w:tr>
      <w:tr>
        <w:trPr>
          <w:cantSplit/>
        </w:trPr>
        <w:tc>
          <w:tcPr>
            <w:tcW w:type="pct" w:w="32%"/>
            <w:shd w:fill="F5F3ED" w:val="clear"/>
            <w:tcMar>
              <w:top w:type="dxa" w:w="60"/>
              <w:left w:type="dxa" w:w="120"/>
              <w:bottom w:type="dxa" w:w="60"/>
              <w:right w:type="dxa" w:w="120"/>
            </w:tcMar>
          </w:tcPr>
          <w:p>
            <w:pPr>
              <w:spacing w:line="312"/>
            </w:pPr>
            <w:r>
              <w:rPr>
                <w:rFonts w:ascii="Times New Roman" w:eastAsia="Times New Roman"/>
                <w:b/>
                <w:bCs/>
                <w:color w:val="000000"/>
                <w:sz w:val="21"/>
                <w:szCs w:val="21"/>
              </w:rPr>
              <w:t xml:space="preserve">Version</w:t>
            </w:r>
          </w:p>
        </w:tc>
        <w:tc>
          <w:tcPr>
            <w:tcW w:type="pct" w:w="68%"/>
            <w:tcMar>
              <w:top w:type="dxa" w:w="60"/>
              <w:left w:type="dxa" w:w="120"/>
              <w:bottom w:type="dxa" w:w="60"/>
              <w:right w:type="dxa" w:w="120"/>
            </w:tcMar>
          </w:tcPr>
          <w:p>
            <w:pPr>
              <w:spacing w:after="0" w:line="312"/>
            </w:pPr>
            <w:r>
              <w:rPr>
                <w:rFonts w:ascii="Times New Roman" w:eastAsia="Times New Roman"/>
                <w:color w:val="000000"/>
                <w:sz w:val="21"/>
                <w:szCs w:val="21"/>
              </w:rPr>
              <w:t xml:space="preserve">1.0</w:t>
            </w:r>
          </w:p>
        </w:tc>
      </w:tr>
      <w:tr>
        <w:trPr>
          <w:cantSplit/>
        </w:trPr>
        <w:tc>
          <w:tcPr>
            <w:tcW w:type="pct" w:w="32%"/>
            <w:shd w:fill="F5F3ED" w:val="clear"/>
            <w:tcMar>
              <w:top w:type="dxa" w:w="60"/>
              <w:left w:type="dxa" w:w="120"/>
              <w:bottom w:type="dxa" w:w="60"/>
              <w:right w:type="dxa" w:w="120"/>
            </w:tcMar>
          </w:tcPr>
          <w:p>
            <w:pPr>
              <w:spacing w:line="312"/>
            </w:pPr>
            <w:r>
              <w:rPr>
                <w:rFonts w:ascii="Times New Roman" w:eastAsia="Times New Roman"/>
                <w:b/>
                <w:bCs/>
                <w:color w:val="000000"/>
                <w:sz w:val="21"/>
                <w:szCs w:val="21"/>
              </w:rPr>
              <w:t xml:space="preserve">Status</w:t>
            </w:r>
          </w:p>
        </w:tc>
        <w:tc>
          <w:tcPr>
            <w:tcW w:type="pct" w:w="68%"/>
            <w:tcMar>
              <w:top w:type="dxa" w:w="60"/>
              <w:left w:type="dxa" w:w="120"/>
              <w:bottom w:type="dxa" w:w="60"/>
              <w:right w:type="dxa" w:w="120"/>
            </w:tcMar>
          </w:tcPr>
          <w:p>
            <w:pPr>
              <w:spacing w:after="0" w:line="312"/>
            </w:pPr>
            <w:r>
              <w:rPr>
                <w:rFonts w:ascii="Times New Roman" w:eastAsia="Times New Roman"/>
                <w:color w:val="000000"/>
                <w:sz w:val="21"/>
                <w:szCs w:val="21"/>
              </w:rPr>
              <w:t xml:space="preserve">Issued</w:t>
            </w:r>
          </w:p>
        </w:tc>
      </w:tr>
      <w:tr>
        <w:trPr>
          <w:cantSplit/>
        </w:trPr>
        <w:tc>
          <w:tcPr>
            <w:tcW w:type="pct" w:w="32%"/>
            <w:shd w:fill="F5F3ED" w:val="clear"/>
            <w:tcMar>
              <w:top w:type="dxa" w:w="60"/>
              <w:left w:type="dxa" w:w="120"/>
              <w:bottom w:type="dxa" w:w="60"/>
              <w:right w:type="dxa" w:w="120"/>
            </w:tcMar>
          </w:tcPr>
          <w:p>
            <w:pPr>
              <w:spacing w:line="312"/>
            </w:pPr>
            <w:r>
              <w:rPr>
                <w:rFonts w:ascii="Times New Roman" w:eastAsia="Times New Roman"/>
                <w:b/>
                <w:bCs/>
                <w:color w:val="000000"/>
                <w:sz w:val="21"/>
                <w:szCs w:val="21"/>
              </w:rPr>
              <w:t xml:space="preserve">Date of Issue</w:t>
            </w:r>
          </w:p>
        </w:tc>
        <w:tc>
          <w:tcPr>
            <w:tcW w:type="pct" w:w="68%"/>
            <w:tcMar>
              <w:top w:type="dxa" w:w="60"/>
              <w:left w:type="dxa" w:w="120"/>
              <w:bottom w:type="dxa" w:w="60"/>
              <w:right w:type="dxa" w:w="120"/>
            </w:tcMar>
          </w:tcPr>
          <w:p>
            <w:pPr>
              <w:spacing w:after="0" w:line="312"/>
            </w:pPr>
            <w:r>
              <w:rPr>
                <w:rFonts w:ascii="Times New Roman" w:eastAsia="Times New Roman"/>
                <w:color w:val="000000"/>
                <w:sz w:val="21"/>
                <w:szCs w:val="21"/>
              </w:rPr>
              <w:t xml:space="preserve">2026-08-18</w:t>
            </w:r>
          </w:p>
        </w:tc>
      </w:tr>
      <w:tr>
        <w:trPr>
          <w:cantSplit/>
        </w:trPr>
        <w:tc>
          <w:tcPr>
            <w:tcW w:type="pct" w:w="32%"/>
            <w:shd w:fill="F5F3ED" w:val="clear"/>
            <w:tcMar>
              <w:top w:type="dxa" w:w="60"/>
              <w:left w:type="dxa" w:w="120"/>
              <w:bottom w:type="dxa" w:w="60"/>
              <w:right w:type="dxa" w:w="120"/>
            </w:tcMar>
          </w:tcPr>
          <w:p>
            <w:pPr>
              <w:spacing w:line="312"/>
            </w:pPr>
            <w:r>
              <w:rPr>
                <w:rFonts w:ascii="Times New Roman" w:eastAsia="Times New Roman"/>
                <w:b/>
                <w:bCs/>
                <w:color w:val="000000"/>
                <w:sz w:val="21"/>
                <w:szCs w:val="21"/>
              </w:rPr>
              <w:t xml:space="preserve">Prepared By</w:t>
            </w:r>
          </w:p>
        </w:tc>
        <w:tc>
          <w:tcPr>
            <w:tcW w:type="pct" w:w="68%"/>
            <w:tcMar>
              <w:top w:type="dxa" w:w="60"/>
              <w:left w:type="dxa" w:w="120"/>
              <w:bottom w:type="dxa" w:w="60"/>
              <w:right w:type="dxa" w:w="120"/>
            </w:tcMar>
          </w:tcPr>
          <w:p>
            <w:pPr>
              <w:spacing w:after="0" w:line="312"/>
            </w:pPr>
            <w:r>
              <w:rPr>
                <w:rFonts w:ascii="Times New Roman" w:eastAsia="Times New Roman"/>
                <w:color w:val="000000"/>
                <w:sz w:val="21"/>
                <w:szCs w:val="21"/>
              </w:rPr>
              <w:t xml:space="preserve">Technology Advisory Practice</w:t>
            </w:r>
          </w:p>
        </w:tc>
      </w:tr>
      <w:tr>
        <w:trPr>
          <w:cantSplit/>
        </w:trPr>
        <w:tc>
          <w:tcPr>
            <w:tcW w:type="pct" w:w="32%"/>
            <w:shd w:fill="F5F3ED" w:val="clear"/>
            <w:tcMar>
              <w:top w:type="dxa" w:w="60"/>
              <w:left w:type="dxa" w:w="120"/>
              <w:bottom w:type="dxa" w:w="60"/>
              <w:right w:type="dxa" w:w="120"/>
            </w:tcMar>
          </w:tcPr>
          <w:p>
            <w:pPr>
              <w:spacing w:line="312"/>
            </w:pPr>
            <w:r>
              <w:rPr>
                <w:rFonts w:ascii="Times New Roman" w:eastAsia="Times New Roman"/>
                <w:b/>
                <w:bCs/>
                <w:color w:val="000000"/>
                <w:sz w:val="21"/>
                <w:szCs w:val="21"/>
              </w:rPr>
              <w:t xml:space="preserve">Client / Engagement</w:t>
            </w:r>
          </w:p>
        </w:tc>
        <w:tc>
          <w:tcPr>
            <w:tcW w:type="pct" w:w="68%"/>
            <w:tcMar>
              <w:top w:type="dxa" w:w="60"/>
              <w:left w:type="dxa" w:w="120"/>
              <w:bottom w:type="dxa" w:w="60"/>
              <w:right w:type="dxa" w:w="120"/>
            </w:tcMar>
          </w:tcPr>
          <w:p>
            <w:pPr>
              <w:spacing w:after="0" w:line="312"/>
            </w:pPr>
            <w:r>
              <w:rPr>
                <w:rFonts w:ascii="Times New Roman" w:eastAsia="Times New Roman"/>
                <w:color w:val="000000"/>
                <w:sz w:val="21"/>
                <w:szCs w:val="21"/>
              </w:rPr>
              <w:t xml:space="preserve">AI Meeting Interpreter — Independent Technology Review</w:t>
            </w:r>
          </w:p>
        </w:tc>
      </w:tr>
      <w:tr>
        <w:trPr>
          <w:cantSplit/>
        </w:trPr>
        <w:tc>
          <w:tcPr>
            <w:tcW w:type="pct" w:w="32%"/>
            <w:shd w:fill="F5F3ED" w:val="clear"/>
            <w:tcMar>
              <w:top w:type="dxa" w:w="60"/>
              <w:left w:type="dxa" w:w="120"/>
              <w:bottom w:type="dxa" w:w="60"/>
              <w:right w:type="dxa" w:w="120"/>
            </w:tcMar>
          </w:tcPr>
          <w:p>
            <w:pPr>
              <w:spacing w:line="312"/>
            </w:pPr>
            <w:r>
              <w:rPr>
                <w:rFonts w:ascii="Times New Roman" w:eastAsia="Times New Roman"/>
                <w:b/>
                <w:bCs/>
                <w:color w:val="000000"/>
                <w:sz w:val="21"/>
                <w:szCs w:val="21"/>
              </w:rPr>
              <w:t xml:space="preserve">Classification</w:t>
            </w:r>
          </w:p>
        </w:tc>
        <w:tc>
          <w:tcPr>
            <w:tcW w:type="pct" w:w="68%"/>
            <w:tcMar>
              <w:top w:type="dxa" w:w="60"/>
              <w:left w:type="dxa" w:w="120"/>
              <w:bottom w:type="dxa" w:w="60"/>
              <w:right w:type="dxa" w:w="120"/>
            </w:tcMar>
          </w:tcPr>
          <w:p>
            <w:pPr>
              <w:spacing w:after="0" w:line="312"/>
            </w:pPr>
            <w:r>
              <w:rPr>
                <w:rFonts w:ascii="Times New Roman" w:eastAsia="Times New Roman"/>
                <w:color w:val="000000"/>
                <w:sz w:val="21"/>
                <w:szCs w:val="21"/>
              </w:rPr>
              <w:t xml:space="preserve">Client Confidential</w:t>
            </w:r>
          </w:p>
        </w:tc>
      </w:tr>
    </w:tbl>
    <w:p>
      <w:pPr>
        <w:spacing w:after="160" w:before="160"/>
      </w:pPr>
    </w:p>
    <w:p>
      <w:pPr>
        <w:spacing w:after="80" w:before="120" w:line="312"/>
      </w:pPr>
      <w:r>
        <w:rPr>
          <w:rFonts w:ascii="Times New Roman" w:eastAsia="Times New Roman"/>
          <w:b/>
          <w:bCs/>
          <w:color w:val="000000"/>
          <w:sz w:val="24"/>
          <w:szCs w:val="24"/>
        </w:rPr>
        <w:t xml:space="preserve">Version History</w:t>
      </w:r>
    </w:p>
    <w:tbl>
      <w:tblPr>
        <w:tblW w:type="pct" w:w="100%"/>
        <w:tblBorders>
          <w:top w:val="single" w:color="000000" w:sz="2"/>
          <w:left w:val="none"/>
          <w:bottom w:val="single" w:color="000000" w:sz="2"/>
          <w:right w:val="none"/>
          <w:insideH w:val="single" w:color="DDD8CC" w:sz="1"/>
          <w:insideV w:val="none"/>
        </w:tblBorders>
      </w:tblPr>
      <w:tblGrid>
        <w:gridCol w:w="100"/>
        <w:gridCol w:w="100"/>
        <w:gridCol w:w="100"/>
        <w:gridCol w:w="100"/>
      </w:tblGrid>
      <w:tr>
        <w:trPr>
          <w:cantSplit/>
          <w:tblHeader/>
        </w:trPr>
        <w:tc>
          <w:tcPr>
            <w:tcW w:type="pct" w:w="12%"/>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Version</w:t>
            </w:r>
          </w:p>
        </w:tc>
        <w:tc>
          <w:tcPr>
            <w:tcW w:type="pct" w:w="16%"/>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Date</w:t>
            </w:r>
          </w:p>
        </w:tc>
        <w:tc>
          <w:tcPr>
            <w:tcW w:type="pct" w:w="24%"/>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Author</w:t>
            </w:r>
          </w:p>
        </w:tc>
        <w:tc>
          <w:tcPr>
            <w:tcW w:type="pct" w:w="48%"/>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Description of Change</w:t>
            </w:r>
          </w:p>
        </w:tc>
      </w:tr>
      <w:tr>
        <w:trPr>
          <w:cantSplit/>
        </w:trPr>
        <w:tc>
          <w:tcPr>
            <w:tcW w:type="pct" w:w="12%"/>
            <w:tcMar>
              <w:top w:type="dxa" w:w="60"/>
              <w:left w:type="dxa" w:w="120"/>
              <w:bottom w:type="dxa" w:w="60"/>
              <w:right w:type="dxa" w:w="120"/>
            </w:tcMar>
          </w:tcPr>
          <w:p>
            <w:pPr>
              <w:spacing w:after="0" w:line="312"/>
            </w:pPr>
            <w:r>
              <w:rPr>
                <w:rFonts w:ascii="Times New Roman" w:eastAsia="Times New Roman"/>
                <w:color w:val="000000"/>
                <w:sz w:val="21"/>
                <w:szCs w:val="21"/>
              </w:rPr>
              <w:t xml:space="preserve">0.1</w:t>
            </w:r>
          </w:p>
        </w:tc>
        <w:tc>
          <w:tcPr>
            <w:tcW w:type="pct" w:w="16%"/>
            <w:tcMar>
              <w:top w:type="dxa" w:w="60"/>
              <w:left w:type="dxa" w:w="120"/>
              <w:bottom w:type="dxa" w:w="60"/>
              <w:right w:type="dxa" w:w="120"/>
            </w:tcMar>
          </w:tcPr>
          <w:p>
            <w:pPr>
              <w:spacing w:after="0" w:line="312"/>
            </w:pPr>
            <w:r>
              <w:rPr>
                <w:rFonts w:ascii="Times New Roman" w:eastAsia="Times New Roman"/>
                <w:color w:val="000000"/>
                <w:sz w:val="21"/>
                <w:szCs w:val="21"/>
              </w:rPr>
              <w:t xml:space="preserve">2026-08-18</w:t>
            </w:r>
          </w:p>
        </w:tc>
        <w:tc>
          <w:tcPr>
            <w:tcW w:type="pct" w:w="24%"/>
            <w:tcMar>
              <w:top w:type="dxa" w:w="60"/>
              <w:left w:type="dxa" w:w="120"/>
              <w:bottom w:type="dxa" w:w="60"/>
              <w:right w:type="dxa" w:w="120"/>
            </w:tcMar>
          </w:tcPr>
          <w:p>
            <w:pPr>
              <w:spacing w:after="0" w:line="312"/>
            </w:pPr>
            <w:r>
              <w:rPr>
                <w:rFonts w:ascii="Times New Roman" w:eastAsia="Times New Roman"/>
                <w:color w:val="000000"/>
                <w:sz w:val="21"/>
                <w:szCs w:val="21"/>
              </w:rPr>
              <w:t xml:space="preserve">Technology Advisory</w:t>
            </w:r>
          </w:p>
        </w:tc>
        <w:tc>
          <w:tcPr>
            <w:tcW w:type="pct" w:w="48%"/>
            <w:tcMar>
              <w:top w:type="dxa" w:w="60"/>
              <w:left w:type="dxa" w:w="120"/>
              <w:bottom w:type="dxa" w:w="60"/>
              <w:right w:type="dxa" w:w="120"/>
            </w:tcMar>
          </w:tcPr>
          <w:p>
            <w:pPr>
              <w:spacing w:after="0" w:line="312"/>
            </w:pPr>
            <w:r>
              <w:rPr>
                <w:rFonts w:ascii="Times New Roman" w:eastAsia="Times New Roman"/>
                <w:color w:val="000000"/>
                <w:sz w:val="21"/>
                <w:szCs w:val="21"/>
              </w:rPr>
              <w:t xml:space="preserve">Initial working draft produced from repository inspection.</w:t>
            </w:r>
          </w:p>
        </w:tc>
      </w:tr>
      <w:tr>
        <w:trPr>
          <w:cantSplit/>
        </w:trPr>
        <w:tc>
          <w:tcPr>
            <w:tcW w:type="pct" w:w="12%"/>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1.0</w:t>
            </w:r>
          </w:p>
        </w:tc>
        <w:tc>
          <w:tcPr>
            <w:tcW w:type="pct" w:w="16%"/>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2026-08-18</w:t>
            </w:r>
          </w:p>
        </w:tc>
        <w:tc>
          <w:tcPr>
            <w:tcW w:type="pct" w:w="24%"/>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Technology Advisory</w:t>
            </w:r>
          </w:p>
        </w:tc>
        <w:tc>
          <w:tcPr>
            <w:tcW w:type="pct" w:w="48%"/>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First issued version for client review.</w:t>
            </w:r>
          </w:p>
        </w:tc>
      </w:tr>
    </w:tbl>
    <w:p>
      <w:pPr>
        <w:spacing w:after="160" w:before="160"/>
      </w:pPr>
    </w:p>
    <w:p>
      <w:pPr>
        <w:spacing w:after="80" w:before="120" w:line="312"/>
      </w:pPr>
      <w:r>
        <w:rPr>
          <w:rFonts w:ascii="Times New Roman" w:eastAsia="Times New Roman"/>
          <w:b/>
          <w:bCs/>
          <w:color w:val="000000"/>
          <w:sz w:val="24"/>
          <w:szCs w:val="24"/>
        </w:rPr>
        <w:t xml:space="preserve">Distribution &amp; Approval</w:t>
      </w:r>
    </w:p>
    <w:tbl>
      <w:tblPr>
        <w:tblW w:type="pct" w:w="100%"/>
        <w:tblBorders>
          <w:top w:val="single" w:color="000000" w:sz="2"/>
          <w:left w:val="none"/>
          <w:bottom w:val="single" w:color="000000" w:sz="2"/>
          <w:right w:val="none"/>
          <w:insideH w:val="single" w:color="DDD8CC" w:sz="1"/>
          <w:insideV w:val="none"/>
        </w:tblBorders>
      </w:tblPr>
      <w:tblGrid>
        <w:gridCol w:w="100"/>
        <w:gridCol w:w="100"/>
        <w:gridCol w:w="100"/>
        <w:gridCol w:w="100"/>
      </w:tblGrid>
      <w:tr>
        <w:trPr>
          <w:cantSplit/>
          <w:tblHeader/>
        </w:trPr>
        <w:tc>
          <w:tcPr>
            <w:tcW w:type="pct" w:w="28%"/>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Name</w:t>
            </w:r>
          </w:p>
        </w:tc>
        <w:tc>
          <w:tcPr>
            <w:tcW w:type="pct" w:w="26%"/>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Role</w:t>
            </w:r>
          </w:p>
        </w:tc>
        <w:tc>
          <w:tcPr>
            <w:tcW w:type="pct" w:w="24%"/>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Action</w:t>
            </w:r>
          </w:p>
        </w:tc>
        <w:tc>
          <w:tcPr>
            <w:tcW w:type="pct" w:w="22%"/>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Date</w:t>
            </w:r>
          </w:p>
        </w:tc>
      </w:tr>
      <w:tr>
        <w:trPr>
          <w:cantSplit/>
        </w:trPr>
        <w:tc>
          <w:tcPr>
            <w:tcW w:type="pct" w:w="28%"/>
            <w:tcMar>
              <w:top w:type="dxa" w:w="60"/>
              <w:left w:type="dxa" w:w="120"/>
              <w:bottom w:type="dxa" w:w="60"/>
              <w:right w:type="dxa" w:w="120"/>
            </w:tcMar>
          </w:tcPr>
          <w:p>
            <w:pPr>
              <w:spacing w:after="0" w:line="312"/>
            </w:pPr>
            <w:r>
              <w:rPr>
                <w:rFonts w:ascii="Times New Roman" w:eastAsia="Times New Roman"/>
                <w:color w:val="000000"/>
                <w:sz w:val="21"/>
                <w:szCs w:val="21"/>
              </w:rPr>
              <w:t xml:space="preserve">【Client Sponsor】</w:t>
            </w:r>
          </w:p>
        </w:tc>
        <w:tc>
          <w:tcPr>
            <w:tcW w:type="pct" w:w="26%"/>
            <w:tcMar>
              <w:top w:type="dxa" w:w="60"/>
              <w:left w:type="dxa" w:w="120"/>
              <w:bottom w:type="dxa" w:w="60"/>
              <w:right w:type="dxa" w:w="120"/>
            </w:tcMar>
          </w:tcPr>
          <w:p>
            <w:pPr>
              <w:spacing w:after="0" w:line="312"/>
            </w:pPr>
            <w:r>
              <w:rPr>
                <w:rFonts w:ascii="Times New Roman" w:eastAsia="Times New Roman"/>
                <w:color w:val="000000"/>
                <w:sz w:val="21"/>
                <w:szCs w:val="21"/>
              </w:rPr>
              <w:t xml:space="preserve">Product Owner</w:t>
            </w:r>
          </w:p>
        </w:tc>
        <w:tc>
          <w:tcPr>
            <w:tcW w:type="pct" w:w="24%"/>
            <w:tcMar>
              <w:top w:type="dxa" w:w="60"/>
              <w:left w:type="dxa" w:w="120"/>
              <w:bottom w:type="dxa" w:w="60"/>
              <w:right w:type="dxa" w:w="120"/>
            </w:tcMar>
          </w:tcPr>
          <w:p>
            <w:pPr>
              <w:spacing w:after="0" w:line="312"/>
            </w:pPr>
            <w:r>
              <w:rPr>
                <w:rFonts w:ascii="Times New Roman" w:eastAsia="Times New Roman"/>
                <w:color w:val="000000"/>
                <w:sz w:val="21"/>
                <w:szCs w:val="21"/>
              </w:rPr>
              <w:t xml:space="preserve">Approve</w:t>
            </w:r>
          </w:p>
        </w:tc>
        <w:tc>
          <w:tcPr>
            <w:tcW w:type="pct" w:w="22%"/>
            <w:tcMar>
              <w:top w:type="dxa" w:w="60"/>
              <w:left w:type="dxa" w:w="120"/>
              <w:bottom w:type="dxa" w:w="60"/>
              <w:right w:type="dxa" w:w="120"/>
            </w:tcMar>
          </w:tcPr>
          <w:p>
            <w:pPr>
              <w:spacing w:after="0" w:line="312"/>
            </w:pPr>
            <w:r>
              <w:rPr>
                <w:rFonts w:ascii="Times New Roman" w:eastAsia="Times New Roman"/>
                <w:color w:val="000000"/>
                <w:sz w:val="21"/>
                <w:szCs w:val="21"/>
              </w:rPr>
              <w:t xml:space="preserve">【____/____/____】</w:t>
            </w:r>
          </w:p>
        </w:tc>
      </w:tr>
      <w:tr>
        <w:trPr>
          <w:cantSplit/>
        </w:trPr>
        <w:tc>
          <w:tcPr>
            <w:tcW w:type="pct" w:w="28%"/>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【Engineering Lead】</w:t>
            </w:r>
          </w:p>
        </w:tc>
        <w:tc>
          <w:tcPr>
            <w:tcW w:type="pct" w:w="26%"/>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Technical Authority</w:t>
            </w:r>
          </w:p>
        </w:tc>
        <w:tc>
          <w:tcPr>
            <w:tcW w:type="pct" w:w="24%"/>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Review</w:t>
            </w:r>
          </w:p>
        </w:tc>
        <w:tc>
          <w:tcPr>
            <w:tcW w:type="pct" w:w="22%"/>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【____/____/____】</w:t>
            </w:r>
          </w:p>
        </w:tc>
      </w:tr>
      <w:tr>
        <w:trPr>
          <w:cantSplit/>
        </w:trPr>
        <w:tc>
          <w:tcPr>
            <w:tcW w:type="pct" w:w="28%"/>
            <w:tcMar>
              <w:top w:type="dxa" w:w="60"/>
              <w:left w:type="dxa" w:w="120"/>
              <w:bottom w:type="dxa" w:w="60"/>
              <w:right w:type="dxa" w:w="120"/>
            </w:tcMar>
          </w:tcPr>
          <w:p>
            <w:pPr>
              <w:spacing w:after="0" w:line="312"/>
            </w:pPr>
            <w:r>
              <w:rPr>
                <w:rFonts w:ascii="Times New Roman" w:eastAsia="Times New Roman"/>
                <w:color w:val="000000"/>
                <w:sz w:val="21"/>
                <w:szCs w:val="21"/>
              </w:rPr>
              <w:t xml:space="preserve">【Security Officer】</w:t>
            </w:r>
          </w:p>
        </w:tc>
        <w:tc>
          <w:tcPr>
            <w:tcW w:type="pct" w:w="26%"/>
            <w:tcMar>
              <w:top w:type="dxa" w:w="60"/>
              <w:left w:type="dxa" w:w="120"/>
              <w:bottom w:type="dxa" w:w="60"/>
              <w:right w:type="dxa" w:w="120"/>
            </w:tcMar>
          </w:tcPr>
          <w:p>
            <w:pPr>
              <w:spacing w:after="0" w:line="312"/>
            </w:pPr>
            <w:r>
              <w:rPr>
                <w:rFonts w:ascii="Times New Roman" w:eastAsia="Times New Roman"/>
                <w:color w:val="000000"/>
                <w:sz w:val="21"/>
                <w:szCs w:val="21"/>
              </w:rPr>
              <w:t xml:space="preserve">Information Security</w:t>
            </w:r>
          </w:p>
        </w:tc>
        <w:tc>
          <w:tcPr>
            <w:tcW w:type="pct" w:w="24%"/>
            <w:tcMar>
              <w:top w:type="dxa" w:w="60"/>
              <w:left w:type="dxa" w:w="120"/>
              <w:bottom w:type="dxa" w:w="60"/>
              <w:right w:type="dxa" w:w="120"/>
            </w:tcMar>
          </w:tcPr>
          <w:p>
            <w:pPr>
              <w:spacing w:after="0" w:line="312"/>
            </w:pPr>
            <w:r>
              <w:rPr>
                <w:rFonts w:ascii="Times New Roman" w:eastAsia="Times New Roman"/>
                <w:color w:val="000000"/>
                <w:sz w:val="21"/>
                <w:szCs w:val="21"/>
              </w:rPr>
              <w:t xml:space="preserve">Review</w:t>
            </w:r>
          </w:p>
        </w:tc>
        <w:tc>
          <w:tcPr>
            <w:tcW w:type="pct" w:w="22%"/>
            <w:tcMar>
              <w:top w:type="dxa" w:w="60"/>
              <w:left w:type="dxa" w:w="120"/>
              <w:bottom w:type="dxa" w:w="60"/>
              <w:right w:type="dxa" w:w="120"/>
            </w:tcMar>
          </w:tcPr>
          <w:p>
            <w:pPr>
              <w:spacing w:after="0" w:line="312"/>
            </w:pPr>
            <w:r>
              <w:rPr>
                <w:rFonts w:ascii="Times New Roman" w:eastAsia="Times New Roman"/>
                <w:color w:val="000000"/>
                <w:sz w:val="21"/>
                <w:szCs w:val="21"/>
              </w:rPr>
              <w:t xml:space="preserve">【____/____/____】</w:t>
            </w:r>
          </w:p>
        </w:tc>
      </w:tr>
    </w:tbl>
    <w:p>
      <w:pPr>
        <w:pageBreakBefore/>
        <w:spacing w:after="360" w:before="240" w:line="312"/>
        <w:jc w:val="center"/>
      </w:pPr>
      <w:r>
        <w:rPr>
          <w:rFonts w:ascii="Times New Roman" w:eastAsia="Times New Roman"/>
          <w:b/>
          <w:bCs/>
          <w:color w:val="000000"/>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Purpose</w:t>
            </w:r>
            <w:r>
              <w:tab/>
            </w:r>
            <w:r>
              <w:fldChar w:fldCharType="begin"/>
            </w:r>
            <w:r>
              <w:instrText xml:space="preserve"> PAGEREF _Toc100000 \h </w:instrText>
            </w:r>
            <w:r>
              <w:fldChar w:fldCharType="separate"/>
            </w:r>
            <w:r>
              <w:t>2</w:t>
            </w:r>
            <w:r>
              <w:fldChar w:fldCharType="end"/>
            </w:r>
          </w:hyperlink>
        </w:p>
        <w:p>
          <w:pPr>
            <w:pStyle w:val="9"/>
            <w:tabs>
              <w:tab w:val="right" w:leader="dot" w:pos="9026"/>
            </w:tabs>
            <w:spacing w:before="120" w:after="60"/>
          </w:pPr>
          <w:hyperlink w:anchor="_Toc100001" w:history="1">
            <w:r>
              <w:rPr>
                <w:rStyle w:val="Hyperlink"/>
              </w:rPr>
              <w:t>2. Vendor Inventory</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3. Vendor Profiles</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3.1 AssemblyAI</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3.2 Google Gemini</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3.3 PostgreSQL</w:t>
            </w:r>
            <w:r>
              <w:tab/>
            </w:r>
            <w:r>
              <w:fldChar w:fldCharType="begin"/>
            </w:r>
            <w:r>
              <w:instrText xml:space="preserve"> PAGEREF _Toc100005 \h </w:instrText>
            </w:r>
            <w:r>
              <w:fldChar w:fldCharType="separate"/>
            </w:r>
            <w:r>
              <w:t>3</w:t>
            </w:r>
            <w:r>
              <w:fldChar w:fldCharType="end"/>
            </w:r>
          </w:hyperlink>
        </w:p>
        <w:p>
          <w:pPr>
            <w:pStyle w:val="9"/>
            <w:tabs>
              <w:tab w:val="right" w:leader="dot" w:pos="9026"/>
            </w:tabs>
            <w:spacing w:before="120" w:after="60"/>
          </w:pPr>
          <w:hyperlink w:anchor="_Toc100006" w:history="1">
            <w:r>
              <w:rPr>
                <w:rStyle w:val="Hyperlink"/>
              </w:rPr>
              <w:t>4. Cost Model</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4.1 Cost Drivers</w:t>
            </w:r>
            <w:r>
              <w:tab/>
            </w:r>
            <w:r>
              <w:fldChar w:fldCharType="begin"/>
            </w:r>
            <w:r>
              <w:instrText xml:space="preserve"> PAGEREF _Toc100007 \h </w:instrText>
            </w:r>
            <w:r>
              <w:fldChar w:fldCharType="separate"/>
            </w:r>
            <w:r>
              <w:t>3</w:t>
            </w:r>
            <w:r>
              <w:fldChar w:fldCharType="end"/>
            </w:r>
          </w:hyperlink>
        </w:p>
        <w:p>
          <w:pPr>
            <w:pStyle w:val="11"/>
            <w:ind w:left="360"/>
            <w:tabs>
              <w:tab w:val="right" w:leader="dot" w:pos="9026"/>
            </w:tabs>
            <w:spacing w:before="120" w:after="60"/>
          </w:pPr>
          <w:hyperlink w:anchor="_Toc100008" w:history="1">
            <w:r>
              <w:rPr>
                <w:rStyle w:val="Hyperlink"/>
              </w:rPr>
              <w:t>4.2 Built-In Cost Controls</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4.3 TCO Considerations</w:t>
            </w:r>
            <w:r>
              <w:tab/>
            </w:r>
            <w:r>
              <w:fldChar w:fldCharType="begin"/>
            </w:r>
            <w:r>
              <w:instrText xml:space="preserve"> PAGEREF _Toc100009 \h </w:instrText>
            </w:r>
            <w:r>
              <w:fldChar w:fldCharType="separate"/>
            </w:r>
            <w:r>
              <w:t>4</w:t>
            </w:r>
            <w:r>
              <w:fldChar w:fldCharType="end"/>
            </w:r>
          </w:hyperlink>
        </w:p>
        <w:p>
          <w:pPr>
            <w:pStyle w:val="9"/>
            <w:tabs>
              <w:tab w:val="right" w:leader="dot" w:pos="9026"/>
            </w:tabs>
            <w:spacing w:before="120" w:after="60"/>
          </w:pPr>
          <w:hyperlink w:anchor="_Toc100010" w:history="1">
            <w:r>
              <w:rPr>
                <w:rStyle w:val="Hyperlink"/>
              </w:rPr>
              <w:t>5. Alternatives Considered</w:t>
            </w:r>
            <w:r>
              <w:tab/>
            </w:r>
            <w:r>
              <w:fldChar w:fldCharType="begin"/>
            </w:r>
            <w:r>
              <w:instrText xml:space="preserve"> PAGEREF _Toc100010 \h </w:instrText>
            </w:r>
            <w:r>
              <w:fldChar w:fldCharType="separate"/>
            </w:r>
            <w:r>
              <w:t>5</w:t>
            </w:r>
            <w:r>
              <w:fldChar w:fldCharType="end"/>
            </w:r>
          </w:hyperlink>
        </w:p>
        <w:p>
          <w:pPr>
            <w:pStyle w:val="9"/>
            <w:tabs>
              <w:tab w:val="right" w:leader="dot" w:pos="9026"/>
            </w:tabs>
            <w:spacing w:before="120" w:after="60"/>
          </w:pPr>
          <w:hyperlink w:anchor="_Toc100011" w:history="1">
            <w:r>
              <w:rPr>
                <w:rStyle w:val="Hyperlink"/>
              </w:rPr>
              <w:t>6. Vendor Lock-In Assessment</w:t>
            </w:r>
            <w:r>
              <w:tab/>
            </w:r>
            <w:r>
              <w:fldChar w:fldCharType="begin"/>
            </w:r>
            <w:r>
              <w:instrText xml:space="preserve"> PAGEREF _Toc100011 \h </w:instrText>
            </w:r>
            <w:r>
              <w:fldChar w:fldCharType="separate"/>
            </w:r>
            <w:r>
              <w:t>5</w:t>
            </w:r>
            <w:r>
              <w:fldChar w:fldCharType="end"/>
            </w:r>
          </w:hyperlink>
        </w:p>
        <w:p>
          <w:pPr>
            <w:pStyle w:val="9"/>
            <w:tabs>
              <w:tab w:val="right" w:leader="dot" w:pos="9026"/>
            </w:tabs>
            <w:spacing w:before="120" w:after="60"/>
          </w:pPr>
          <w:hyperlink w:anchor="_Toc100012" w:history="1">
            <w:r>
              <w:rPr>
                <w:rStyle w:val="Hyperlink"/>
              </w:rPr>
              <w:t>7. Recommendations</w:t>
            </w:r>
            <w:r>
              <w:tab/>
            </w:r>
            <w:r>
              <w:fldChar w:fldCharType="begin"/>
            </w:r>
            <w:r>
              <w:instrText xml:space="preserve"> PAGEREF _Toc100012 \h </w:instrText>
            </w:r>
            <w:r>
              <w:fldChar w:fldCharType="separate"/>
            </w:r>
            <w:r>
              <w:t>6</w:t>
            </w:r>
            <w:r>
              <w:fldChar w:fldCharType="end"/>
            </w:r>
          </w:hyperlink>
        </w:p>
        <w:p>
          <w:r>
            <w:fldChar w:fldCharType="end"/>
          </w:r>
        </w:p>
      </w:sdtContent>
    </w:sdt>
    <w:p>
      <w:pPr>
        <w:spacing w:before="200" w:line="312"/>
      </w:pPr>
      <w:r>
        <w:rPr>
          <w:rFonts w:ascii="Times New Roman" w:eastAsia="Times New Roman"/>
          <w:i/>
          <w:iCs/>
          <w:color w:val="888888"/>
          <w:sz w:val="18"/>
          <w:szCs w:val="18"/>
        </w:rPr>
        <w:t xml:space="preserve">Note: This Table of Contents is generated via field codes. To ensure page number accuracy after editing, please right-click the TOC and select “Update Field.”</w:t>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pPr>
      <w:bookmarkStart w:id="100000" w:name="_Toc100000"/>
      <w:r>
        <w:t xml:space="preserve">1. Purpose</w:t>
      </w:r>
      <w:bookmarkEnd w:id="100000"/>
    </w:p>
    <w:p>
      <w:pPr>
        <w:spacing w:after="120" w:line="312"/>
        <w:jc w:val="both"/>
      </w:pPr>
      <w:r>
        <w:rPr>
          <w:rFonts w:ascii="Times New Roman" w:eastAsia="Times New Roman"/>
          <w:color w:val="000000"/>
          <w:sz w:val="24"/>
          <w:szCs w:val="24"/>
        </w:rPr>
        <w:t xml:space="preserve">This Vendor &amp; Cost Analysis profiles the third-party services on which the AI Meeting Interpreter depends, explains the cost model and the controls already built into the product, and assesses vendor concentration and lock-in. It is written for finance, procurement and engineering leadership. Pricing is described in terms of the vendors' published billing dimensions rather than specific rates, which change; current rates should be confirmed at the vendor consoles before budgeting.</w:t>
      </w:r>
    </w:p>
    <w:p>
      <w:pPr>
        <w:pStyle w:val="Heading1"/>
      </w:pPr>
      <w:bookmarkStart w:id="100001" w:name="_Toc100001"/>
      <w:r>
        <w:t xml:space="preserve">2. Vendor Inventory</w:t>
      </w:r>
      <w:bookmarkEnd w:id="100001"/>
    </w:p>
    <w:p>
      <w:pPr>
        <w:keepNext/>
        <w:spacing w:after="80" w:before="200" w:line="312"/>
      </w:pPr>
      <w:r>
        <w:rPr>
          <w:rFonts w:ascii="Times New Roman" w:eastAsia="Times New Roman"/>
          <w:b/>
          <w:bCs/>
          <w:color w:val="404040"/>
          <w:sz w:val="21"/>
          <w:szCs w:val="21"/>
        </w:rPr>
        <w:t xml:space="preserve">Table 30 — Third-Party Dependencies</w:t>
      </w:r>
    </w:p>
    <w:tbl>
      <w:tblPr>
        <w:tblW w:type="pct" w:w="100%"/>
        <w:tblBorders>
          <w:top w:val="single" w:color="000000" w:sz="2"/>
          <w:left w:val="none"/>
          <w:bottom w:val="single" w:color="000000" w:sz="2"/>
          <w:right w:val="none"/>
          <w:insideH w:val="single" w:color="DDD8CC" w:sz="1"/>
          <w:insideV w:val="none"/>
        </w:tblBorders>
      </w:tblPr>
      <w:tblGrid>
        <w:gridCol w:w="100"/>
        <w:gridCol w:w="100"/>
        <w:gridCol w:w="100"/>
        <w:gridCol w:w="100"/>
        <w:gridCol w:w="100"/>
      </w:tblGrid>
      <w:tr>
        <w:trPr>
          <w:cantSplit/>
          <w:tblHeader/>
        </w:trPr>
        <w:tc>
          <w:tcPr>
            <w:tcW w:type="pct" w:w="16%"/>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Vendor</w:t>
            </w:r>
          </w:p>
        </w:tc>
        <w:tc>
          <w:tcPr>
            <w:tcW w:type="pct" w:w="30%"/>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Service</w:t>
            </w:r>
          </w:p>
        </w:tc>
        <w:tc>
          <w:tcPr>
            <w:tcW w:type="pct" w:w="26%"/>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Integration</w:t>
            </w:r>
          </w:p>
        </w:tc>
        <w:tc>
          <w:tcPr>
            <w:tcW w:type="pct" w:w="16%"/>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Billing Dimension</w:t>
            </w:r>
          </w:p>
        </w:tc>
        <w:tc>
          <w:tcPr>
            <w:tcW w:type="pct" w:w="12%"/>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Criticality</w:t>
            </w:r>
          </w:p>
        </w:tc>
      </w:tr>
      <w:tr>
        <w:trPr>
          <w:cantSplit/>
        </w:trPr>
        <w:tc>
          <w:tcPr>
            <w:tcW w:type="pct" w:w="16%"/>
            <w:tcMar>
              <w:top w:type="dxa" w:w="60"/>
              <w:left w:type="dxa" w:w="120"/>
              <w:bottom w:type="dxa" w:w="60"/>
              <w:right w:type="dxa" w:w="120"/>
            </w:tcMar>
          </w:tcPr>
          <w:p>
            <w:pPr>
              <w:spacing w:after="0" w:line="312"/>
            </w:pPr>
            <w:r>
              <w:rPr>
                <w:rFonts w:ascii="Times New Roman" w:eastAsia="Times New Roman"/>
                <w:color w:val="000000"/>
                <w:sz w:val="21"/>
                <w:szCs w:val="21"/>
              </w:rPr>
              <w:t xml:space="preserve">AssemblyAI</w:t>
            </w:r>
          </w:p>
        </w:tc>
        <w:tc>
          <w:tcPr>
            <w:tcW w:type="pct" w:w="30%"/>
            <w:tcMar>
              <w:top w:type="dxa" w:w="60"/>
              <w:left w:type="dxa" w:w="120"/>
              <w:bottom w:type="dxa" w:w="60"/>
              <w:right w:type="dxa" w:w="120"/>
            </w:tcMar>
          </w:tcPr>
          <w:p>
            <w:pPr>
              <w:spacing w:after="0" w:line="312"/>
            </w:pPr>
            <w:r>
              <w:rPr>
                <w:rFonts w:ascii="Times New Roman" w:eastAsia="Times New Roman"/>
                <w:color w:val="000000"/>
                <w:sz w:val="21"/>
                <w:szCs w:val="21"/>
              </w:rPr>
              <w:t xml:space="preserve">Universal-3.5 streaming speech-to-text</w:t>
            </w:r>
          </w:p>
        </w:tc>
        <w:tc>
          <w:tcPr>
            <w:tcW w:type="pct" w:w="26%"/>
            <w:tcMar>
              <w:top w:type="dxa" w:w="60"/>
              <w:left w:type="dxa" w:w="120"/>
              <w:bottom w:type="dxa" w:w="60"/>
              <w:right w:type="dxa" w:w="120"/>
            </w:tcMar>
          </w:tcPr>
          <w:p>
            <w:pPr>
              <w:spacing w:after="0" w:line="312"/>
            </w:pPr>
            <w:r>
              <w:rPr>
                <w:rFonts w:ascii="Times New Roman" w:eastAsia="Times New Roman"/>
                <w:color w:val="000000"/>
                <w:sz w:val="21"/>
                <w:szCs w:val="21"/>
              </w:rPr>
              <w:t xml:space="preserve">WebSocket (v3) via assemblyai SDK ^4.6.0</w:t>
            </w:r>
          </w:p>
        </w:tc>
        <w:tc>
          <w:tcPr>
            <w:tcW w:type="pct" w:w="16%"/>
            <w:tcMar>
              <w:top w:type="dxa" w:w="60"/>
              <w:left w:type="dxa" w:w="120"/>
              <w:bottom w:type="dxa" w:w="60"/>
              <w:right w:type="dxa" w:w="120"/>
            </w:tcMar>
          </w:tcPr>
          <w:p>
            <w:pPr>
              <w:spacing w:after="0" w:line="312"/>
            </w:pPr>
            <w:r>
              <w:rPr>
                <w:rFonts w:ascii="Times New Roman" w:eastAsia="Times New Roman"/>
                <w:color w:val="000000"/>
                <w:sz w:val="21"/>
                <w:szCs w:val="21"/>
              </w:rPr>
              <w:t xml:space="preserve">Per unit of audio transcribed (streaming minutes)</w:t>
            </w:r>
          </w:p>
        </w:tc>
        <w:tc>
          <w:tcPr>
            <w:tcW w:type="pct" w:w="12%"/>
            <w:tcMar>
              <w:top w:type="dxa" w:w="60"/>
              <w:left w:type="dxa" w:w="120"/>
              <w:bottom w:type="dxa" w:w="60"/>
              <w:right w:type="dxa" w:w="120"/>
            </w:tcMar>
          </w:tcPr>
          <w:p>
            <w:pPr>
              <w:spacing w:after="0" w:line="312"/>
            </w:pPr>
            <w:r>
              <w:rPr>
                <w:rFonts w:ascii="Times New Roman" w:eastAsia="Times New Roman"/>
                <w:color w:val="000000"/>
                <w:sz w:val="21"/>
                <w:szCs w:val="21"/>
              </w:rPr>
              <w:t xml:space="preserve">High — core function</w:t>
            </w:r>
          </w:p>
        </w:tc>
      </w:tr>
      <w:tr>
        <w:trPr>
          <w:cantSplit/>
        </w:trPr>
        <w:tc>
          <w:tcPr>
            <w:tcW w:type="pct" w:w="16%"/>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Google</w:t>
            </w:r>
          </w:p>
        </w:tc>
        <w:tc>
          <w:tcPr>
            <w:tcW w:type="pct" w:w="30%"/>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Gemini large language model (flash-lite alias)</w:t>
            </w:r>
          </w:p>
        </w:tc>
        <w:tc>
          <w:tcPr>
            <w:tcW w:type="pct" w:w="26%"/>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HTTPS via @google/generative-ai ^0.24.0</w:t>
            </w:r>
          </w:p>
        </w:tc>
        <w:tc>
          <w:tcPr>
            <w:tcW w:type="pct" w:w="16%"/>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Per token (input + output)</w:t>
            </w:r>
          </w:p>
        </w:tc>
        <w:tc>
          <w:tcPr>
            <w:tcW w:type="pct" w:w="12%"/>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High — core function</w:t>
            </w:r>
          </w:p>
        </w:tc>
      </w:tr>
      <w:tr>
        <w:trPr>
          <w:cantSplit/>
        </w:trPr>
        <w:tc>
          <w:tcPr>
            <w:tcW w:type="pct" w:w="16%"/>
            <w:tcMar>
              <w:top w:type="dxa" w:w="60"/>
              <w:left w:type="dxa" w:w="120"/>
              <w:bottom w:type="dxa" w:w="60"/>
              <w:right w:type="dxa" w:w="120"/>
            </w:tcMar>
          </w:tcPr>
          <w:p>
            <w:pPr>
              <w:spacing w:after="0" w:line="312"/>
            </w:pPr>
            <w:r>
              <w:rPr>
                <w:rFonts w:ascii="Times New Roman" w:eastAsia="Times New Roman"/>
                <w:color w:val="000000"/>
                <w:sz w:val="21"/>
                <w:szCs w:val="21"/>
              </w:rPr>
              <w:t xml:space="preserve">PostgreSQL</w:t>
            </w:r>
          </w:p>
        </w:tc>
        <w:tc>
          <w:tcPr>
            <w:tcW w:type="pct" w:w="30%"/>
            <w:tcMar>
              <w:top w:type="dxa" w:w="60"/>
              <w:left w:type="dxa" w:w="120"/>
              <w:bottom w:type="dxa" w:w="60"/>
              <w:right w:type="dxa" w:w="120"/>
            </w:tcMar>
          </w:tcPr>
          <w:p>
            <w:pPr>
              <w:spacing w:after="0" w:line="312"/>
            </w:pPr>
            <w:r>
              <w:rPr>
                <w:rFonts w:ascii="Times New Roman" w:eastAsia="Times New Roman"/>
                <w:color w:val="000000"/>
                <w:sz w:val="21"/>
                <w:szCs w:val="21"/>
              </w:rPr>
              <w:t xml:space="preserve">Relational persistence (optional)</w:t>
            </w:r>
          </w:p>
        </w:tc>
        <w:tc>
          <w:tcPr>
            <w:tcW w:type="pct" w:w="26%"/>
            <w:tcMar>
              <w:top w:type="dxa" w:w="60"/>
              <w:left w:type="dxa" w:w="120"/>
              <w:bottom w:type="dxa" w:w="60"/>
              <w:right w:type="dxa" w:w="120"/>
            </w:tcMar>
          </w:tcPr>
          <w:p>
            <w:pPr>
              <w:spacing w:after="0" w:line="312"/>
            </w:pPr>
            <w:r>
              <w:rPr>
                <w:rFonts w:ascii="Times New Roman" w:eastAsia="Times New Roman"/>
                <w:color w:val="000000"/>
                <w:sz w:val="21"/>
                <w:szCs w:val="21"/>
              </w:rPr>
              <w:t xml:space="preserve">pg ^8.23.0</w:t>
            </w:r>
          </w:p>
        </w:tc>
        <w:tc>
          <w:tcPr>
            <w:tcW w:type="pct" w:w="16%"/>
            <w:tcMar>
              <w:top w:type="dxa" w:w="60"/>
              <w:left w:type="dxa" w:w="120"/>
              <w:bottom w:type="dxa" w:w="60"/>
              <w:right w:type="dxa" w:w="120"/>
            </w:tcMar>
          </w:tcPr>
          <w:p>
            <w:pPr>
              <w:spacing w:after="0" w:line="312"/>
            </w:pPr>
            <w:r>
              <w:rPr>
                <w:rFonts w:ascii="Times New Roman" w:eastAsia="Times New Roman"/>
                <w:color w:val="000000"/>
                <w:sz w:val="21"/>
                <w:szCs w:val="21"/>
              </w:rPr>
              <w:t xml:space="preserve">Self-hosted / user-provided</w:t>
            </w:r>
          </w:p>
        </w:tc>
        <w:tc>
          <w:tcPr>
            <w:tcW w:type="pct" w:w="12%"/>
            <w:tcMar>
              <w:top w:type="dxa" w:w="60"/>
              <w:left w:type="dxa" w:w="120"/>
              <w:bottom w:type="dxa" w:w="60"/>
              <w:right w:type="dxa" w:w="120"/>
            </w:tcMar>
          </w:tcPr>
          <w:p>
            <w:pPr>
              <w:spacing w:after="0" w:line="312"/>
            </w:pPr>
            <w:r>
              <w:rPr>
                <w:rFonts w:ascii="Times New Roman" w:eastAsia="Times New Roman"/>
                <w:color w:val="000000"/>
                <w:sz w:val="21"/>
                <w:szCs w:val="21"/>
              </w:rPr>
              <w:t xml:space="preserve">Low — optional</w:t>
            </w:r>
          </w:p>
        </w:tc>
      </w:tr>
    </w:tbl>
    <w:p>
      <w:pPr>
        <w:pStyle w:val="Heading1"/>
      </w:pPr>
      <w:bookmarkStart w:id="100002" w:name="_Toc100002"/>
      <w:r>
        <w:t xml:space="preserve">3. Vendor Profiles</w:t>
      </w:r>
      <w:bookmarkEnd w:id="100002"/>
    </w:p>
    <w:p>
      <w:pPr>
        <w:pStyle w:val="Heading2"/>
      </w:pPr>
      <w:bookmarkStart w:id="100003" w:name="_Toc100003"/>
      <w:r>
        <w:t xml:space="preserve">3.1 AssemblyAI</w:t>
      </w:r>
      <w:bookmarkEnd w:id="100003"/>
    </w:p>
    <w:p>
      <w:pPr>
        <w:spacing w:after="120" w:line="312"/>
        <w:jc w:val="both"/>
      </w:pPr>
      <w:r>
        <w:rPr>
          <w:rFonts w:ascii="Times New Roman" w:eastAsia="Times New Roman"/>
          <w:color w:val="000000"/>
          <w:sz w:val="24"/>
          <w:szCs w:val="24"/>
        </w:rPr>
        <w:t xml:space="preserve">AssemblyAI is a specialist speech-to-text provider. The product uses its real-time streaming API, which delivers partial and final transcripts over a persistent WebSocket with configurable end-of-turn silence detection. Streaming STT is the natural fit for a live-copilot use case. The integration is confined to a single module (the sidecar), which contains the coupling.</w:t>
      </w:r>
    </w:p>
    <w:p>
      <w:pPr>
        <w:pStyle w:val="Heading2"/>
      </w:pPr>
      <w:bookmarkStart w:id="100004" w:name="_Toc100004"/>
      <w:r>
        <w:t xml:space="preserve">3.2 Google Gemini</w:t>
      </w:r>
      <w:bookmarkEnd w:id="100004"/>
    </w:p>
    <w:p>
      <w:pPr>
        <w:spacing w:after="120" w:line="312"/>
        <w:jc w:val="both"/>
      </w:pPr>
      <w:r>
        <w:rPr>
          <w:rFonts w:ascii="Times New Roman" w:eastAsia="Times New Roman"/>
          <w:color w:val="000000"/>
          <w:sz w:val="24"/>
          <w:szCs w:val="24"/>
        </w:rPr>
        <w:t xml:space="preserve">Google provides the Gemini family of large language models through Google AI Studio. The product uses a single fast model alias (gemini-flash-lite-latest) across all four pipeline stages, selected for low latency and generous rate limits. Structured outputs are obtained via JSON response mode. As with STT, all Gemini integration is contained in one module (agent.js).</w:t>
      </w:r>
    </w:p>
    <w:p>
      <w:pPr>
        <w:pStyle w:val="Heading2"/>
      </w:pPr>
      <w:bookmarkStart w:id="100005" w:name="_Toc100005"/>
      <w:r>
        <w:t xml:space="preserve">3.3 PostgreSQL</w:t>
      </w:r>
      <w:bookmarkEnd w:id="100005"/>
    </w:p>
    <w:p>
      <w:pPr>
        <w:spacing w:after="120" w:line="312"/>
        <w:jc w:val="both"/>
      </w:pPr>
      <w:r>
        <w:rPr>
          <w:rFonts w:ascii="Times New Roman" w:eastAsia="Times New Roman"/>
          <w:color w:val="000000"/>
          <w:sz w:val="24"/>
          <w:szCs w:val="24"/>
        </w:rPr>
        <w:t xml:space="preserve">PostgreSQL is an open-source relational database and is the only self-hosted, non-commercial dependency. It is optional by design; its absence degrades the product to memory-only operation. This is a well-managed dependency with no vendor lock-in.</w:t>
      </w:r>
    </w:p>
    <w:p>
      <w:pPr>
        <w:pStyle w:val="Heading1"/>
      </w:pPr>
      <w:bookmarkStart w:id="100006" w:name="_Toc100006"/>
      <w:r>
        <w:t xml:space="preserve">4. Cost Model</w:t>
      </w:r>
      <w:bookmarkEnd w:id="100006"/>
    </w:p>
    <w:p>
      <w:pPr>
        <w:pStyle w:val="Heading2"/>
      </w:pPr>
      <w:bookmarkStart w:id="100007" w:name="_Toc100007"/>
      <w:r>
        <w:t xml:space="preserve">4.1 Cost Drivers</w:t>
      </w:r>
      <w:bookmarkEnd w:id="100007"/>
    </w:p>
    <w:p>
      <w:pPr>
        <w:spacing w:after="120" w:line="312"/>
        <w:jc w:val="both"/>
      </w:pPr>
      <w:r>
        <w:rPr>
          <w:rFonts w:ascii="Times New Roman" w:eastAsia="Times New Roman"/>
          <w:color w:val="000000"/>
          <w:sz w:val="24"/>
          <w:szCs w:val="24"/>
        </w:rPr>
        <w:t xml:space="preserve">Two external services incur usage cost, driven by meeting behaviour:</w:t>
      </w:r>
    </w:p>
    <w:p>
      <w:pPr>
        <w:keepNext/>
        <w:spacing w:after="80" w:before="200" w:line="312"/>
      </w:pPr>
      <w:r>
        <w:rPr>
          <w:rFonts w:ascii="Times New Roman" w:eastAsia="Times New Roman"/>
          <w:b/>
          <w:bCs/>
          <w:color w:val="404040"/>
          <w:sz w:val="21"/>
          <w:szCs w:val="21"/>
        </w:rPr>
        <w:t xml:space="preserve">Table 31 — Cost Drivers</w:t>
      </w:r>
    </w:p>
    <w:tbl>
      <w:tblPr>
        <w:tblW w:type="pct" w:w="100%"/>
        <w:tblBorders>
          <w:top w:val="single" w:color="000000" w:sz="2"/>
          <w:left w:val="none"/>
          <w:bottom w:val="single" w:color="000000" w:sz="2"/>
          <w:right w:val="none"/>
          <w:insideH w:val="single" w:color="DDD8CC" w:sz="1"/>
          <w:insideV w:val="none"/>
        </w:tblBorders>
      </w:tblPr>
      <w:tblGrid>
        <w:gridCol w:w="100"/>
        <w:gridCol w:w="100"/>
        <w:gridCol w:w="100"/>
      </w:tblGrid>
      <w:tr>
        <w:trPr>
          <w:cantSplit/>
          <w:tblHeader/>
        </w:trPr>
        <w:tc>
          <w:tcPr>
            <w:tcW w:type="pct" w:w="22%"/>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Service</w:t>
            </w:r>
          </w:p>
        </w:tc>
        <w:tc>
          <w:tcPr>
            <w:tcW w:type="pct" w:w="28%"/>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Driver</w:t>
            </w:r>
          </w:p>
        </w:tc>
        <w:tc>
          <w:tcPr>
            <w:tcW w:type="pct" w:w="50%"/>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What Increases It</w:t>
            </w:r>
          </w:p>
        </w:tc>
      </w:tr>
      <w:tr>
        <w:trPr>
          <w:cantSplit/>
        </w:trPr>
        <w:tc>
          <w:tcPr>
            <w:tcW w:type="pct" w:w="22%"/>
            <w:tcMar>
              <w:top w:type="dxa" w:w="60"/>
              <w:left w:type="dxa" w:w="120"/>
              <w:bottom w:type="dxa" w:w="60"/>
              <w:right w:type="dxa" w:w="120"/>
            </w:tcMar>
          </w:tcPr>
          <w:p>
            <w:pPr>
              <w:spacing w:after="0" w:line="312"/>
            </w:pPr>
            <w:r>
              <w:rPr>
                <w:rFonts w:ascii="Times New Roman" w:eastAsia="Times New Roman"/>
                <w:color w:val="000000"/>
                <w:sz w:val="21"/>
                <w:szCs w:val="21"/>
              </w:rPr>
              <w:t xml:space="preserve">AssemblyAI STT</w:t>
            </w:r>
          </w:p>
        </w:tc>
        <w:tc>
          <w:tcPr>
            <w:tcW w:type="pct" w:w="28%"/>
            <w:tcMar>
              <w:top w:type="dxa" w:w="60"/>
              <w:left w:type="dxa" w:w="120"/>
              <w:bottom w:type="dxa" w:w="60"/>
              <w:right w:type="dxa" w:w="120"/>
            </w:tcMar>
          </w:tcPr>
          <w:p>
            <w:pPr>
              <w:spacing w:after="0" w:line="312"/>
            </w:pPr>
            <w:r>
              <w:rPr>
                <w:rFonts w:ascii="Times New Roman" w:eastAsia="Times New Roman"/>
                <w:color w:val="000000"/>
                <w:sz w:val="21"/>
                <w:szCs w:val="21"/>
              </w:rPr>
              <w:t xml:space="preserve">Audio duration streamed</w:t>
            </w:r>
          </w:p>
        </w:tc>
        <w:tc>
          <w:tcPr>
            <w:tcW w:type="pct" w:w="50%"/>
            <w:tcMar>
              <w:top w:type="dxa" w:w="60"/>
              <w:left w:type="dxa" w:w="120"/>
              <w:bottom w:type="dxa" w:w="60"/>
              <w:right w:type="dxa" w:w="120"/>
            </w:tcMar>
          </w:tcPr>
          <w:p>
            <w:pPr>
              <w:spacing w:after="0" w:line="312"/>
            </w:pPr>
            <w:r>
              <w:rPr>
                <w:rFonts w:ascii="Times New Roman" w:eastAsia="Times New Roman"/>
                <w:color w:val="000000"/>
                <w:sz w:val="21"/>
                <w:szCs w:val="21"/>
              </w:rPr>
              <w:t xml:space="preserve">Longer meetings; continuous capture regardless of speech density</w:t>
            </w:r>
          </w:p>
        </w:tc>
      </w:tr>
      <w:tr>
        <w:trPr>
          <w:cantSplit/>
        </w:trPr>
        <w:tc>
          <w:tcPr>
            <w:tcW w:type="pct" w:w="22%"/>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Gemini LLM</w:t>
            </w:r>
          </w:p>
        </w:tc>
        <w:tc>
          <w:tcPr>
            <w:tcW w:type="pct" w:w="28%"/>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Tokens processed per analysed chunk</w:t>
            </w:r>
          </w:p>
        </w:tc>
        <w:tc>
          <w:tcPr>
            <w:tcW w:type="pct" w:w="50%"/>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More chunks graded medium/high; longer utterances; more analysis stages triggered</w:t>
            </w:r>
          </w:p>
        </w:tc>
      </w:tr>
    </w:tbl>
    <w:p>
      <w:pPr>
        <w:pStyle w:val="Heading2"/>
      </w:pPr>
      <w:bookmarkStart w:id="100008" w:name="_Toc100008"/>
      <w:r>
        <w:t xml:space="preserve">4.2 Built-In Cost Controls</w:t>
      </w:r>
      <w:bookmarkEnd w:id="100008"/>
    </w:p>
    <w:p>
      <w:pPr>
        <w:spacing w:after="120" w:line="312"/>
        <w:jc w:val="both"/>
      </w:pPr>
      <w:r>
        <w:rPr>
          <w:rFonts w:ascii="Times New Roman" w:eastAsia="Times New Roman"/>
          <w:color w:val="000000"/>
          <w:sz w:val="24"/>
          <w:szCs w:val="24"/>
        </w:rPr>
        <w:t xml:space="preserve">The product already implements two cost-containment mechanisms that should be credited in any TCO model.</w:t>
      </w:r>
    </w:p>
    <w:p>
      <w:pPr>
        <w:pStyle w:val="ListParagraph"/>
        <w:numPr>
          <w:ilvl w:val="0"/>
          <w:numId w:val="1"/>
        </w:numPr>
        <w:spacing w:after="60" w:line="312"/>
      </w:pPr>
      <w:r>
        <w:rPr>
          <w:rFonts w:ascii="Times New Roman" w:eastAsia="Times New Roman"/>
          <w:b/>
          <w:bCs/>
          <w:color w:val="000000"/>
          <w:sz w:val="24"/>
          <w:szCs w:val="24"/>
        </w:rPr>
        <w:t xml:space="preserve">Significance gating: </w:t>
      </w:r>
      <w:r>
        <w:rPr>
          <w:rFonts w:ascii="Times New Roman" w:eastAsia="Times New Roman"/>
          <w:color w:val="000000"/>
          <w:sz w:val="24"/>
          <w:szCs w:val="24"/>
        </w:rPr>
        <w:t xml:space="preserve">the Context Manager grades every chunk; none/low chunks trigger no further LLM work, and only high chunks trigger the two most expensive stages. Chit-chat therefore costs one classification call, not four analysis calls.</w:t>
      </w:r>
    </w:p>
    <w:p>
      <w:pPr>
        <w:pStyle w:val="ListParagraph"/>
        <w:numPr>
          <w:ilvl w:val="0"/>
          <w:numId w:val="1"/>
        </w:numPr>
        <w:spacing w:after="60" w:line="312"/>
      </w:pPr>
      <w:r>
        <w:rPr>
          <w:rFonts w:ascii="Times New Roman" w:eastAsia="Times New Roman"/>
          <w:b/>
          <w:bCs/>
          <w:color w:val="000000"/>
          <w:sz w:val="24"/>
          <w:szCs w:val="24"/>
        </w:rPr>
        <w:t xml:space="preserve">Hard circuit breaker: </w:t>
      </w:r>
      <w:r>
        <w:rPr>
          <w:rFonts w:ascii="Times New Roman" w:eastAsia="Times New Roman"/>
          <w:color w:val="000000"/>
          <w:sz w:val="24"/>
          <w:szCs w:val="24"/>
        </w:rPr>
        <w:t xml:space="preserve">a ceiling of 200 LLM API calls per meeting caps the worst case regardless of meeting length. When reached, AI processing pauses and the user is notified (status: Cost Limit Reached).</w:t>
      </w:r>
    </w:p>
    <w:p>
      <w:pPr>
        <w:pStyle w:val="Heading2"/>
      </w:pPr>
      <w:bookmarkStart w:id="100009" w:name="_Toc100009"/>
      <w:r>
        <w:t xml:space="preserve">4.3 TCO Considerations</w:t>
      </w:r>
      <w:bookmarkEnd w:id="100009"/>
    </w:p>
    <w:p>
      <w:pPr>
        <w:pStyle w:val="ListParagraph"/>
        <w:numPr>
          <w:ilvl w:val="0"/>
          <w:numId w:val="1"/>
        </w:numPr>
        <w:spacing w:after="60" w:line="312"/>
      </w:pPr>
      <w:r>
        <w:rPr>
          <w:rFonts w:ascii="Times New Roman" w:eastAsia="Times New Roman"/>
          <w:color w:val="000000"/>
          <w:sz w:val="24"/>
          <w:szCs w:val="24"/>
        </w:rPr>
        <w:t xml:space="preserve">STT cost scales linearly with captured time and is largely independent of content — it is the predictable, volume-based component.</w:t>
      </w:r>
    </w:p>
    <w:p>
      <w:pPr>
        <w:pStyle w:val="ListParagraph"/>
        <w:numPr>
          <w:ilvl w:val="0"/>
          <w:numId w:val="1"/>
        </w:numPr>
        <w:spacing w:after="60" w:line="312"/>
      </w:pPr>
      <w:r>
        <w:rPr>
          <w:rFonts w:ascii="Times New Roman" w:eastAsia="Times New Roman"/>
          <w:color w:val="000000"/>
          <w:sz w:val="24"/>
          <w:szCs w:val="24"/>
        </w:rPr>
        <w:t xml:space="preserve">LLM cost is content-dependent and bursty; a jargon-heavy technical meeting costs materially more than a social one of the same length.</w:t>
      </w:r>
    </w:p>
    <w:p>
      <w:pPr>
        <w:pStyle w:val="ListParagraph"/>
        <w:numPr>
          <w:ilvl w:val="0"/>
          <w:numId w:val="1"/>
        </w:numPr>
        <w:spacing w:after="60" w:line="312"/>
      </w:pPr>
      <w:r>
        <w:rPr>
          <w:rFonts w:ascii="Times New Roman" w:eastAsia="Times New Roman"/>
          <w:color w:val="000000"/>
          <w:sz w:val="24"/>
          <w:szCs w:val="24"/>
        </w:rPr>
        <w:t xml:space="preserve">The 200-call cap bounds LLM cost per meeting but is not currently user-configurable; long or many meetings hit the cap and lose AI output for the remainder.</w:t>
      </w:r>
    </w:p>
    <w:p>
      <w:pPr>
        <w:pStyle w:val="ListParagraph"/>
        <w:numPr>
          <w:ilvl w:val="0"/>
          <w:numId w:val="1"/>
        </w:numPr>
        <w:spacing w:after="60" w:line="312"/>
      </w:pPr>
      <w:r>
        <w:rPr>
          <w:rFonts w:ascii="Times New Roman" w:eastAsia="Times New Roman"/>
          <w:color w:val="000000"/>
          <w:sz w:val="24"/>
          <w:szCs w:val="24"/>
        </w:rPr>
        <w:t xml:space="preserve">There is no per-meeting cost reporting today, so actual spend must be reconciled against vendor dashboards.</w:t>
      </w:r>
    </w:p>
    <w:p>
      <w:pPr>
        <w:pStyle w:val="ListParagraph"/>
        <w:numPr>
          <w:ilvl w:val="0"/>
          <w:numId w:val="1"/>
        </w:numPr>
        <w:spacing w:after="60" w:line="312"/>
      </w:pPr>
      <w:r>
        <w:rPr>
          <w:rFonts w:ascii="Times New Roman" w:eastAsia="Times New Roman"/>
          <w:color w:val="000000"/>
          <w:sz w:val="24"/>
          <w:szCs w:val="24"/>
        </w:rPr>
        <w:t xml:space="preserve">PostgreSQL adds infrastructure cost only if persistence is enabled; it can be self-hosted at negligible marginal cost.</w:t>
      </w:r>
    </w:p>
    <w:p>
      <w:pPr>
        <w:pStyle w:val="Heading1"/>
      </w:pPr>
      <w:bookmarkStart w:id="100010" w:name="_Toc100010"/>
      <w:r>
        <w:t xml:space="preserve">5. Alternatives Considered</w:t>
      </w:r>
      <w:bookmarkEnd w:id="100010"/>
    </w:p>
    <w:p>
      <w:pPr>
        <w:spacing w:after="120" w:line="312"/>
        <w:jc w:val="both"/>
      </w:pPr>
      <w:r>
        <w:rPr>
          <w:rFonts w:ascii="Times New Roman" w:eastAsia="Times New Roman"/>
          <w:color w:val="000000"/>
          <w:sz w:val="24"/>
          <w:szCs w:val="24"/>
        </w:rPr>
        <w:t xml:space="preserve">The table records functionally equivalent alternatives that could be substituted without architectural change, given the single-module containment of each integration. This is an assessment of optionality, not a recommendation to switch.</w:t>
      </w:r>
    </w:p>
    <w:p>
      <w:pPr>
        <w:keepNext/>
        <w:spacing w:after="80" w:before="200" w:line="312"/>
      </w:pPr>
      <w:r>
        <w:rPr>
          <w:rFonts w:ascii="Times New Roman" w:eastAsia="Times New Roman"/>
          <w:b/>
          <w:bCs/>
          <w:color w:val="404040"/>
          <w:sz w:val="21"/>
          <w:szCs w:val="21"/>
        </w:rPr>
        <w:t xml:space="preserve">Table 32 — Substitution Optionality</w:t>
      </w:r>
    </w:p>
    <w:tbl>
      <w:tblPr>
        <w:tblW w:type="pct" w:w="100%"/>
        <w:tblBorders>
          <w:top w:val="single" w:color="000000" w:sz="2"/>
          <w:left w:val="none"/>
          <w:bottom w:val="single" w:color="000000" w:sz="2"/>
          <w:right w:val="none"/>
          <w:insideH w:val="single" w:color="DDD8CC" w:sz="1"/>
          <w:insideV w:val="none"/>
        </w:tblBorders>
      </w:tblPr>
      <w:tblGrid>
        <w:gridCol w:w="100"/>
        <w:gridCol w:w="100"/>
        <w:gridCol w:w="100"/>
        <w:gridCol w:w="100"/>
      </w:tblGrid>
      <w:tr>
        <w:trPr>
          <w:cantSplit/>
          <w:tblHeader/>
        </w:trPr>
        <w:tc>
          <w:tcPr>
            <w:tcW w:type="pct" w:w="18%"/>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Capability</w:t>
            </w:r>
          </w:p>
        </w:tc>
        <w:tc>
          <w:tcPr>
            <w:tcW w:type="pct" w:w="16%"/>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Current</w:t>
            </w:r>
          </w:p>
        </w:tc>
        <w:tc>
          <w:tcPr>
            <w:tcW w:type="pct" w:w="40%"/>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Alternative Options</w:t>
            </w:r>
          </w:p>
        </w:tc>
        <w:tc>
          <w:tcPr>
            <w:tcW w:type="pct" w:w="26%"/>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Switching Effort</w:t>
            </w:r>
          </w:p>
        </w:tc>
      </w:tr>
      <w:tr>
        <w:trPr>
          <w:cantSplit/>
        </w:trPr>
        <w:tc>
          <w:tcPr>
            <w:tcW w:type="pct" w:w="18%"/>
            <w:tcMar>
              <w:top w:type="dxa" w:w="60"/>
              <w:left w:type="dxa" w:w="120"/>
              <w:bottom w:type="dxa" w:w="60"/>
              <w:right w:type="dxa" w:w="120"/>
            </w:tcMar>
          </w:tcPr>
          <w:p>
            <w:pPr>
              <w:spacing w:after="0" w:line="312"/>
            </w:pPr>
            <w:r>
              <w:rPr>
                <w:rFonts w:ascii="Times New Roman" w:eastAsia="Times New Roman"/>
                <w:color w:val="000000"/>
                <w:sz w:val="21"/>
                <w:szCs w:val="21"/>
              </w:rPr>
              <w:t xml:space="preserve">Streaming STT</w:t>
            </w:r>
          </w:p>
        </w:tc>
        <w:tc>
          <w:tcPr>
            <w:tcW w:type="pct" w:w="16%"/>
            <w:tcMar>
              <w:top w:type="dxa" w:w="60"/>
              <w:left w:type="dxa" w:w="120"/>
              <w:bottom w:type="dxa" w:w="60"/>
              <w:right w:type="dxa" w:w="120"/>
            </w:tcMar>
          </w:tcPr>
          <w:p>
            <w:pPr>
              <w:spacing w:after="0" w:line="312"/>
            </w:pPr>
            <w:r>
              <w:rPr>
                <w:rFonts w:ascii="Times New Roman" w:eastAsia="Times New Roman"/>
                <w:color w:val="000000"/>
                <w:sz w:val="21"/>
                <w:szCs w:val="21"/>
              </w:rPr>
              <w:t xml:space="preserve">AssemblyAI</w:t>
            </w:r>
          </w:p>
        </w:tc>
        <w:tc>
          <w:tcPr>
            <w:tcW w:type="pct" w:w="40%"/>
            <w:tcMar>
              <w:top w:type="dxa" w:w="60"/>
              <w:left w:type="dxa" w:w="120"/>
              <w:bottom w:type="dxa" w:w="60"/>
              <w:right w:type="dxa" w:w="120"/>
            </w:tcMar>
          </w:tcPr>
          <w:p>
            <w:pPr>
              <w:spacing w:after="0" w:line="312"/>
            </w:pPr>
            <w:r>
              <w:rPr>
                <w:rFonts w:ascii="Times New Roman" w:eastAsia="Times New Roman"/>
                <w:color w:val="000000"/>
                <w:sz w:val="21"/>
                <w:szCs w:val="21"/>
              </w:rPr>
              <w:t xml:space="preserve">Deepgram, Google Speech-to-Text streaming, Azure Speech, OpenAI realtime</w:t>
            </w:r>
          </w:p>
        </w:tc>
        <w:tc>
          <w:tcPr>
            <w:tcW w:type="pct" w:w="26%"/>
            <w:tcMar>
              <w:top w:type="dxa" w:w="60"/>
              <w:left w:type="dxa" w:w="120"/>
              <w:bottom w:type="dxa" w:w="60"/>
              <w:right w:type="dxa" w:w="120"/>
            </w:tcMar>
          </w:tcPr>
          <w:p>
            <w:pPr>
              <w:spacing w:after="0" w:line="312"/>
            </w:pPr>
            <w:r>
              <w:rPr>
                <w:rFonts w:ascii="Times New Roman" w:eastAsia="Times New Roman"/>
                <w:color w:val="000000"/>
                <w:sz w:val="21"/>
                <w:szCs w:val="21"/>
              </w:rPr>
              <w:t xml:space="preserve">Moderate — contained to sidecar.js; PCM1 input contract unchanged</w:t>
            </w:r>
          </w:p>
        </w:tc>
      </w:tr>
      <w:tr>
        <w:trPr>
          <w:cantSplit/>
        </w:trPr>
        <w:tc>
          <w:tcPr>
            <w:tcW w:type="pct" w:w="18%"/>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LLM analysis</w:t>
            </w:r>
          </w:p>
        </w:tc>
        <w:tc>
          <w:tcPr>
            <w:tcW w:type="pct" w:w="16%"/>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Google Gemini</w:t>
            </w:r>
          </w:p>
        </w:tc>
        <w:tc>
          <w:tcPr>
            <w:tcW w:type="pct" w:w="40%"/>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OpenAI, Anthropic, local models (e.g. via Ollama) for privacy</w:t>
            </w:r>
          </w:p>
        </w:tc>
        <w:tc>
          <w:tcPr>
            <w:tcW w:type="pct" w:w="26%"/>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Moderate — contained to agent.js; JSON event contract unchanged</w:t>
            </w:r>
          </w:p>
        </w:tc>
      </w:tr>
      <w:tr>
        <w:trPr>
          <w:cantSplit/>
        </w:trPr>
        <w:tc>
          <w:tcPr>
            <w:tcW w:type="pct" w:w="18%"/>
            <w:tcMar>
              <w:top w:type="dxa" w:w="60"/>
              <w:left w:type="dxa" w:w="120"/>
              <w:bottom w:type="dxa" w:w="60"/>
              <w:right w:type="dxa" w:w="120"/>
            </w:tcMar>
          </w:tcPr>
          <w:p>
            <w:pPr>
              <w:spacing w:after="0" w:line="312"/>
            </w:pPr>
            <w:r>
              <w:rPr>
                <w:rFonts w:ascii="Times New Roman" w:eastAsia="Times New Roman"/>
                <w:color w:val="000000"/>
                <w:sz w:val="21"/>
                <w:szCs w:val="21"/>
              </w:rPr>
              <w:t xml:space="preserve">Persistence</w:t>
            </w:r>
          </w:p>
        </w:tc>
        <w:tc>
          <w:tcPr>
            <w:tcW w:type="pct" w:w="16%"/>
            <w:tcMar>
              <w:top w:type="dxa" w:w="60"/>
              <w:left w:type="dxa" w:w="120"/>
              <w:bottom w:type="dxa" w:w="60"/>
              <w:right w:type="dxa" w:w="120"/>
            </w:tcMar>
          </w:tcPr>
          <w:p>
            <w:pPr>
              <w:spacing w:after="0" w:line="312"/>
            </w:pPr>
            <w:r>
              <w:rPr>
                <w:rFonts w:ascii="Times New Roman" w:eastAsia="Times New Roman"/>
                <w:color w:val="000000"/>
                <w:sz w:val="21"/>
                <w:szCs w:val="21"/>
              </w:rPr>
              <w:t xml:space="preserve">PostgreSQL</w:t>
            </w:r>
          </w:p>
        </w:tc>
        <w:tc>
          <w:tcPr>
            <w:tcW w:type="pct" w:w="40%"/>
            <w:tcMar>
              <w:top w:type="dxa" w:w="60"/>
              <w:left w:type="dxa" w:w="120"/>
              <w:bottom w:type="dxa" w:w="60"/>
              <w:right w:type="dxa" w:w="120"/>
            </w:tcMar>
          </w:tcPr>
          <w:p>
            <w:pPr>
              <w:spacing w:after="0" w:line="312"/>
            </w:pPr>
            <w:r>
              <w:rPr>
                <w:rFonts w:ascii="Times New Roman" w:eastAsia="Times New Roman"/>
                <w:color w:val="000000"/>
                <w:sz w:val="21"/>
                <w:szCs w:val="21"/>
              </w:rPr>
              <w:t xml:space="preserve">SQLite (embedded, removes server dependency), or none</w:t>
            </w:r>
          </w:p>
        </w:tc>
        <w:tc>
          <w:tcPr>
            <w:tcW w:type="pct" w:w="26%"/>
            <w:tcMar>
              <w:top w:type="dxa" w:w="60"/>
              <w:left w:type="dxa" w:w="120"/>
              <w:bottom w:type="dxa" w:w="60"/>
              <w:right w:type="dxa" w:w="120"/>
            </w:tcMar>
          </w:tcPr>
          <w:p>
            <w:pPr>
              <w:spacing w:after="0" w:line="312"/>
            </w:pPr>
            <w:r>
              <w:rPr>
                <w:rFonts w:ascii="Times New Roman" w:eastAsia="Times New Roman"/>
                <w:color w:val="000000"/>
                <w:sz w:val="21"/>
                <w:szCs w:val="21"/>
              </w:rPr>
              <w:t xml:space="preserve">Low — contained to db.js</w:t>
            </w:r>
          </w:p>
        </w:tc>
      </w:tr>
    </w:tbl>
    <w:p>
      <w:pPr>
        <w:pStyle w:val="Heading1"/>
      </w:pPr>
      <w:bookmarkStart w:id="100011" w:name="_Toc100011"/>
      <w:r>
        <w:t xml:space="preserve">6. Vendor Lock-In Assessment</w:t>
      </w:r>
      <w:bookmarkEnd w:id="100011"/>
    </w:p>
    <w:p>
      <w:pPr>
        <w:spacing w:after="120" w:line="312"/>
        <w:jc w:val="both"/>
      </w:pPr>
      <w:r>
        <w:rPr>
          <w:rFonts w:ascii="Times New Roman" w:eastAsia="Times New Roman"/>
          <w:color w:val="000000"/>
          <w:sz w:val="24"/>
          <w:szCs w:val="24"/>
        </w:rPr>
        <w:t xml:space="preserve">Lock-in is assessed as moderate and well-contained. Both AI capabilities are accessed through thin, single-module integrations behind stable internal contracts (the PCM1 input protocol and the JSON event output). There is no proprietary data format, no vendor-specific UI dependency, and no embedded SDK coupling beyond two replaceable modules. The principal lock-in is operational rather than technical: accumulated prompt tuning and the meeting-state design live in agent.js and would need re-validation after a vendor switch.</w:t>
      </w:r>
    </w:p>
    <w:p>
      <w:pPr>
        <w:spacing w:after="120" w:line="312"/>
        <w:jc w:val="both"/>
      </w:pPr>
      <w:r>
        <w:rPr>
          <w:rFonts w:ascii="Times New Roman" w:eastAsia="Times New Roman"/>
          <w:color w:val="000000"/>
          <w:sz w:val="24"/>
          <w:szCs w:val="24"/>
        </w:rPr>
        <w:t xml:space="preserve">A local-LLM option is particularly relevant given the product's audio-privacy exposure (Security Assessment finding F-04); moving analysis on-device would eliminate transmission of meeting content for the LLM stage, though STT would still require a cloud or on-device speech engine.</w:t>
      </w:r>
    </w:p>
    <w:p>
      <w:pPr>
        <w:pStyle w:val="Heading1"/>
      </w:pPr>
      <w:bookmarkStart w:id="100012" w:name="_Toc100012"/>
      <w:r>
        <w:t xml:space="preserve">7. Recommendations</w:t>
      </w:r>
      <w:bookmarkEnd w:id="100012"/>
    </w:p>
    <w:p>
      <w:pPr>
        <w:pStyle w:val="ListParagraph"/>
        <w:numPr>
          <w:ilvl w:val="0"/>
          <w:numId w:val="1"/>
        </w:numPr>
        <w:spacing w:after="60" w:line="312"/>
      </w:pPr>
      <w:r>
        <w:rPr>
          <w:rFonts w:ascii="Times New Roman" w:eastAsia="Times New Roman"/>
          <w:b/>
          <w:bCs/>
          <w:color w:val="000000"/>
          <w:sz w:val="24"/>
          <w:szCs w:val="24"/>
        </w:rPr>
        <w:t xml:space="preserve">Introduce provider-neutral adapters </w:t>
      </w:r>
      <w:r>
        <w:rPr>
          <w:rFonts w:ascii="Times New Roman" w:eastAsia="Times New Roman"/>
          <w:color w:val="000000"/>
          <w:sz w:val="24"/>
          <w:szCs w:val="24"/>
        </w:rPr>
        <w:t xml:space="preserve">around the STT and LLM calls to make failover and vendor evaluation a configuration change rather than a code change.</w:t>
      </w:r>
    </w:p>
    <w:p>
      <w:pPr>
        <w:pStyle w:val="ListParagraph"/>
        <w:numPr>
          <w:ilvl w:val="0"/>
          <w:numId w:val="1"/>
        </w:numPr>
        <w:spacing w:after="60" w:line="312"/>
      </w:pPr>
      <w:r>
        <w:rPr>
          <w:rFonts w:ascii="Times New Roman" w:eastAsia="Times New Roman"/>
          <w:b/>
          <w:bCs/>
          <w:color w:val="000000"/>
          <w:sz w:val="24"/>
          <w:szCs w:val="24"/>
        </w:rPr>
        <w:t xml:space="preserve">Make the cost ceiling configurable </w:t>
      </w:r>
      <w:r>
        <w:rPr>
          <w:rFonts w:ascii="Times New Roman" w:eastAsia="Times New Roman"/>
          <w:color w:val="000000"/>
          <w:sz w:val="24"/>
          <w:szCs w:val="24"/>
        </w:rPr>
        <w:t xml:space="preserve">(per-user or per-meeting) and surface an estimated spend in the UI rather than only a hard stop.</w:t>
      </w:r>
    </w:p>
    <w:p>
      <w:pPr>
        <w:pStyle w:val="ListParagraph"/>
        <w:numPr>
          <w:ilvl w:val="0"/>
          <w:numId w:val="1"/>
        </w:numPr>
        <w:spacing w:after="60" w:line="312"/>
      </w:pPr>
      <w:r>
        <w:rPr>
          <w:rFonts w:ascii="Times New Roman" w:eastAsia="Times New Roman"/>
          <w:b/>
          <w:bCs/>
          <w:color w:val="000000"/>
          <w:sz w:val="24"/>
          <w:szCs w:val="24"/>
        </w:rPr>
        <w:t xml:space="preserve">Add cost telemetry </w:t>
      </w:r>
      <w:r>
        <w:rPr>
          <w:rFonts w:ascii="Times New Roman" w:eastAsia="Times New Roman"/>
          <w:color w:val="000000"/>
          <w:sz w:val="24"/>
          <w:szCs w:val="24"/>
        </w:rPr>
        <w:t xml:space="preserve">so per-meeting STT minutes and LLM token counts are logged and reconcilable.</w:t>
      </w:r>
    </w:p>
    <w:p>
      <w:pPr>
        <w:pStyle w:val="ListParagraph"/>
        <w:numPr>
          <w:ilvl w:val="0"/>
          <w:numId w:val="1"/>
        </w:numPr>
        <w:spacing w:after="60" w:line="312"/>
      </w:pPr>
      <w:r>
        <w:rPr>
          <w:rFonts w:ascii="Times New Roman" w:eastAsia="Times New Roman"/>
          <w:b/>
          <w:bCs/>
          <w:color w:val="000000"/>
          <w:sz w:val="24"/>
          <w:szCs w:val="24"/>
        </w:rPr>
        <w:t xml:space="preserve">Evaluate a local or on-device model </w:t>
      </w:r>
      <w:r>
        <w:rPr>
          <w:rFonts w:ascii="Times New Roman" w:eastAsia="Times New Roman"/>
          <w:color w:val="000000"/>
          <w:sz w:val="24"/>
          <w:szCs w:val="24"/>
        </w:rPr>
        <w:t xml:space="preserve">for the analysis stage to reduce both variable cost and privacy exposure.</w:t>
      </w:r>
    </w:p>
    <w:p>
      <w:pPr>
        <w:pStyle w:val="ListParagraph"/>
        <w:numPr>
          <w:ilvl w:val="0"/>
          <w:numId w:val="1"/>
        </w:numPr>
        <w:spacing w:after="60" w:line="312"/>
      </w:pPr>
      <w:r>
        <w:rPr>
          <w:rFonts w:ascii="Times New Roman" w:eastAsia="Times New Roman"/>
          <w:b/>
          <w:bCs/>
          <w:color w:val="000000"/>
          <w:sz w:val="24"/>
          <w:szCs w:val="24"/>
        </w:rPr>
        <w:t xml:space="preserve">Reconcile vendor pricing quarterly </w:t>
      </w:r>
      <w:r>
        <w:rPr>
          <w:rFonts w:ascii="Times New Roman" w:eastAsia="Times New Roman"/>
          <w:color w:val="000000"/>
          <w:sz w:val="24"/>
          <w:szCs w:val="24"/>
        </w:rPr>
        <w:t xml:space="preserve">and model cost per typical meeting to keep the TCO current.</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0D0" w:sz="2" w:space="4"/>
      </w:pBdr>
      <w:jc w:val="right"/>
    </w:pPr>
    <w:r>
      <w:rPr>
        <w:rFonts w:ascii="Times New Roman" w:eastAsia="Times New Roman"/>
        <w:color w:val="A0A0A0"/>
        <w:sz w:val="16"/>
        <w:szCs w:val="16"/>
      </w:rPr>
      <w:t xml:space="preserve">Vendor and Cost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Times New Roman"/>
      <w:b/>
      <w:bCs/>
      <w:color w:val="000000"/>
      <w:sz w:val="32"/>
      <w:szCs w:val="32"/>
    </w:rPr>
  </w:style>
  <w:style w:type="paragraph" w:styleId="Heading2">
    <w:name w:val="Heading 2"/>
    <w:basedOn w:val="Normal"/>
    <w:next w:val="Normal"/>
    <w:qFormat/>
    <w:pPr>
      <w:spacing w:after="120" w:before="280" w:line="312"/>
      <w:outlineLvl w:val="1"/>
    </w:pPr>
    <w:rPr>
      <w:rFonts w:ascii="Times New Roman" w:eastAsia="Times New Roman"/>
      <w:b/>
      <w:bCs/>
      <w:color w:val="000000"/>
      <w:sz w:val="28"/>
      <w:szCs w:val="28"/>
    </w:rPr>
  </w:style>
  <w:style w:type="paragraph" w:styleId="Heading3">
    <w:name w:val="Heading 3"/>
    <w:basedOn w:val="Normal"/>
    <w:next w:val="Normal"/>
    <w:qFormat/>
    <w:pPr>
      <w:spacing w:after="100" w:before="240" w:line="312"/>
      <w:outlineLvl w:val="2"/>
    </w:pPr>
    <w:rPr>
      <w:rFonts w:ascii="Times New Roman" w:eastAsia="Times New Roman"/>
      <w:b/>
      <w:bCs/>
      <w:color w:val="1A1A1A"/>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Vendor and Cost Analysis</dc:title>
  <dc:creator>Technology Advisory Practice</dc:creator>
  <cp:lastModifiedBy>Un-named</cp:lastModifiedBy>
  <cp:revision>1</cp:revision>
  <dcterms:created xsi:type="dcterms:W3CDTF">2026-08-18T04:50:54.306Z</dcterms:created>
  <dcterms:modified xsi:type="dcterms:W3CDTF">2026-08-18T04:50:54.306Z</dcterms:modified>
</cp:coreProperties>
</file>

<file path=docProps/custom.xml><?xml version="1.0" encoding="utf-8"?>
<Properties xmlns="http://schemas.openxmlformats.org/officeDocument/2006/custom-properties" xmlns:vt="http://schemas.openxmlformats.org/officeDocument/2006/docPropsVTypes"/>
</file>