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Times New Roman" w:eastAsia="Times New Roman"/>
                <w:color w:val="9A8455"/>
                <w:spacing w:val="40"/>
                <w:sz w:val="18"/>
                <w:szCs w:val="18"/>
              </w:rPr>
              <w:t xml:space="preserve">T  E  C  H  N  O  L  O  G  Y     A  D  V  I  S  O  R  Y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eastAsia="Times New Roman"/>
                <w:b/>
                <w:bCs/>
                <w:color w:val="000000"/>
                <w:sz w:val="80"/>
                <w:szCs w:val="80"/>
              </w:rPr>
              <w:t xml:space="preserve">Project Status and RAID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eastAsia="Times New Roman"/>
                <w:b/>
                <w:bCs/>
                <w:color w:val="000000"/>
                <w:sz w:val="80"/>
                <w:szCs w:val="80"/>
              </w:rPr>
              <w:t xml:space="preserve">Report</w:t>
            </w:r>
          </w:p>
          <w:p>
            <w:pPr>
              <w:spacing w:after="800"/>
              <w:ind w:left="1200"/>
            </w:pPr>
            <w:r>
              <w:rPr>
                <w:rFonts w:ascii="Times New Roman" w:eastAsia="Times New Roman"/>
                <w:color w:val="606060"/>
                <w:sz w:val="24"/>
                <w:szCs w:val="24"/>
              </w:rPr>
              <w:t xml:space="preserve">AI Meeting Interpreter — Risks, Assumptions, Issues, Dependencies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Times New Roman"/>
                <w:color w:val="707070"/>
                <w:sz w:val="24"/>
                <w:szCs w:val="24"/>
              </w:rPr>
              <w:t xml:space="preserve">Document AMI-RAI-010  ·  Version 1.0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Times New Roman"/>
                <w:color w:val="707070"/>
                <w:sz w:val="24"/>
                <w:szCs w:val="24"/>
              </w:rPr>
              <w:t xml:space="preserve">Date of issue: 18 August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Times New Roman"/>
                <w:color w:val="707070"/>
                <w:sz w:val="24"/>
                <w:szCs w:val="24"/>
              </w:rPr>
              <w:t xml:space="preserve">Classification: Client Confidential</w:t>
            </w:r>
          </w:p>
          <w:p>
            <w:pPr>
              <w:spacing w:before="4241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Times New Roman" w:eastAsia="Times New Roman"/>
                <w:color w:val="A0A0A0"/>
                <w:sz w:val="16"/>
                <w:szCs w:val="16"/>
              </w:rPr>
              <w:t xml:space="preserve">AI Meeting Interpreter</w:t>
            </w:r>
            <w:r>
              <w:t xml:space="preserve">                                                        </w:t>
            </w:r>
            <w:r>
              <w:rPr>
                <w:rFonts w:ascii="Times New Roman" w:eastAsia="Times New Roman"/>
                <w:color w:val="A0A0A0"/>
                <w:sz w:val="16"/>
                <w:szCs w:val="16"/>
              </w:rPr>
              <w:t xml:space="preserve">18 August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120" w:line="312"/>
        <w:jc w:val="left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Document Control</w:t>
      </w:r>
    </w:p>
    <w:p>
      <w:pPr>
        <w:spacing w:after="120" w:line="312"/>
      </w:pPr>
      <w:r>
        <w:rPr>
          <w:rFonts w:ascii="Times New Roman" w:eastAsia="Times New Roman"/>
          <w:color w:val="404040"/>
          <w:sz w:val="22"/>
          <w:szCs w:val="22"/>
        </w:rPr>
        <w:t xml:space="preserve">The following table records the ownership, status and classification of this document.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Document Title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Project Status &amp; RAID Report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Document Identifier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AMI-RAI-010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Issued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Date of Issue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2026-08-18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Prepared By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Technology Advisory Practice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Client / Engagement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AI Meeting Interpreter — Independent Technology Review</w:t>
            </w:r>
          </w:p>
        </w:tc>
      </w:tr>
      <w:tr>
        <w:trPr>
          <w:cantSplit/>
        </w:trPr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Classification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Client Confidential</w:t>
            </w:r>
          </w:p>
        </w:tc>
      </w:tr>
    </w:tbl>
    <w:p>
      <w:pPr>
        <w:spacing w:after="160" w:before="160"/>
      </w:pPr>
    </w:p>
    <w:p>
      <w:pPr>
        <w:spacing w:after="80" w:before="120" w:line="312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Version History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Version</w:t>
            </w:r>
          </w:p>
        </w:tc>
        <w:tc>
          <w:tcPr>
            <w:tcW w:type="pct" w:w="1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pct" w:w="24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Author</w:t>
            </w:r>
          </w:p>
        </w:tc>
        <w:tc>
          <w:tcPr>
            <w:tcW w:type="pct" w:w="4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0.1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2026-08-18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Technology Advisory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Initial working draft produced from repository inspection.</w:t>
            </w:r>
          </w:p>
        </w:tc>
      </w:tr>
      <w:tr>
        <w:trPr>
          <w:cantSplit/>
        </w:trPr>
        <w:tc>
          <w:tcPr>
            <w:tcW w:type="pct" w:w="1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2026-08-18</w:t>
            </w:r>
          </w:p>
        </w:tc>
        <w:tc>
          <w:tcPr>
            <w:tcW w:type="pct" w:w="2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Technology Advisory</w:t>
            </w:r>
          </w:p>
        </w:tc>
        <w:tc>
          <w:tcPr>
            <w:tcW w:type="pct" w:w="4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First issued version for client review.</w:t>
            </w:r>
          </w:p>
        </w:tc>
      </w:tr>
    </w:tbl>
    <w:p>
      <w:pPr>
        <w:spacing w:after="160" w:before="160"/>
      </w:pPr>
    </w:p>
    <w:p>
      <w:pPr>
        <w:spacing w:after="80" w:before="120" w:line="312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Distribution &amp; Approval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Name</w:t>
            </w:r>
          </w:p>
        </w:tc>
        <w:tc>
          <w:tcPr>
            <w:tcW w:type="pct" w:w="2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Role</w:t>
            </w:r>
          </w:p>
        </w:tc>
        <w:tc>
          <w:tcPr>
            <w:tcW w:type="pct" w:w="24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Action</w:t>
            </w:r>
          </w:p>
        </w:tc>
        <w:tc>
          <w:tcPr>
            <w:tcW w:type="pct" w:w="2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Date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【Client Sponsor】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Product Owner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Approve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【Engineering Lead】</w:t>
            </w:r>
          </w:p>
        </w:tc>
        <w:tc>
          <w:tcPr>
            <w:tcW w:type="pct" w:w="2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Technical Authority</w:t>
            </w:r>
          </w:p>
        </w:tc>
        <w:tc>
          <w:tcPr>
            <w:tcW w:type="pct" w:w="2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Review</w:t>
            </w:r>
          </w:p>
        </w:tc>
        <w:tc>
          <w:tcPr>
            <w:tcW w:type="pct" w:w="2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【Security Officer】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Information Security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Review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【____/____/____】</w:t>
            </w:r>
          </w:p>
        </w:tc>
      </w:tr>
    </w:tbl>
    <w:p>
      <w:pPr>
        <w:pageBreakBefore/>
        <w:spacing w:after="360" w:before="240" w:line="312"/>
        <w:jc w:val="center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Status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Delivery Status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RAID Register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Risks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Assumptions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Issues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Dependencies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Gap Analysis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 Prioritised Next Steps (30/60/90-Day Roadmap)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6. Overall Assessment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Times New Roman" w:eastAsia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Field.”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</w:pPr>
      <w:bookmarkStart w:id="100000" w:name="_Toc100000"/>
      <w:r>
        <w:t xml:space="preserve">1. Executive Status Summary</w:t>
      </w:r>
      <w:bookmarkEnd w:id="100000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The AI Meeting Interpreter is a feature-complete early-stage prototype (v0.1.0). Its core promise — capture, live transcription, and real-time interpretation across three synchronised panes — is implemented end to end and is architecturally sound. The principal gaps are not functional but assurance-related: a critical secrets-hygiene finding, no automated testing or CI/CD, a disabled Content Security Policy, and unaddressed privacy controls for meeting recording. The product is suitable for internal demonstration and continued development; it is not yet suitable for production or external distribution without the remediations listed in this report.</w:t>
      </w:r>
    </w:p>
    <w:p>
      <w:pPr>
        <w:pStyle w:val="Heading1"/>
      </w:pPr>
      <w:bookmarkStart w:id="100001" w:name="_Toc100001"/>
      <w:r>
        <w:t xml:space="preserve">2. Delivery Status</w:t>
      </w:r>
      <w:bookmarkEnd w:id="100001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33 — Capability Delivery Status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Workstream</w:t>
            </w:r>
          </w:p>
        </w:tc>
        <w:tc>
          <w:tcPr>
            <w:tcW w:type="pct" w:w="1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pct" w:w="5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Commentary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Audio capture &amp; mixing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Loopback + mic with graceful degradation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Real-time transcription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</w:t>
            </w:r>
          </w:p>
        </w:tc>
        <w:tc>
          <w:tcPr>
            <w:tcW w:type="pct" w:w="5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AssemblyAI streaming integrated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LLM analysis pipeline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Four-stage pipeline with cost gating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Three-pane UI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</w:t>
            </w:r>
          </w:p>
        </w:tc>
        <w:tc>
          <w:tcPr>
            <w:tcW w:type="pct" w:w="5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Glassmorphism theme, event-driven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Optional persistence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PostgreSQL with memory fallback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Automated testing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Not started</w:t>
            </w:r>
          </w:p>
        </w:tc>
        <w:tc>
          <w:tcPr>
            <w:tcW w:type="pct" w:w="5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framework; placeholder test script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CI/CD pipeline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Not started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Manual builds only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Security hardening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Not started</w:t>
            </w:r>
          </w:p>
        </w:tc>
        <w:tc>
          <w:tcPr>
            <w:tcW w:type="pct" w:w="5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CSP disabled; secrets committed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Privacy &amp; consent controls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Not started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consent gate or retention policy</w:t>
            </w:r>
          </w:p>
        </w:tc>
      </w:tr>
      <w:tr>
        <w:trPr>
          <w:cantSplit/>
        </w:trPr>
        <w:tc>
          <w:tcPr>
            <w:tcW w:type="pct" w:w="2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Product identity &amp; docs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 progress</w:t>
            </w:r>
          </w:p>
        </w:tc>
        <w:tc>
          <w:tcPr>
            <w:tcW w:type="pct" w:w="5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README strong; brain.md missing; generic naming</w:t>
            </w:r>
          </w:p>
        </w:tc>
      </w:tr>
    </w:tbl>
    <w:p>
      <w:pPr>
        <w:pStyle w:val="Heading1"/>
      </w:pPr>
      <w:bookmarkStart w:id="100002" w:name="_Toc100002"/>
      <w:r>
        <w:t xml:space="preserve">3. RAID Register</w:t>
      </w:r>
      <w:bookmarkEnd w:id="100002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The RAID register below is the living core of this report. Owners and due dates are assigned as placeholders for the client to confirm.</w:t>
      </w:r>
    </w:p>
    <w:p>
      <w:pPr>
        <w:pStyle w:val="Heading2"/>
      </w:pPr>
      <w:bookmarkStart w:id="100003" w:name="_Toc100003"/>
      <w:r>
        <w:t xml:space="preserve">3.1 Risks</w:t>
      </w:r>
      <w:bookmarkEnd w:id="100003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34 — Risks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4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Risk</w:t>
            </w:r>
          </w:p>
        </w:tc>
        <w:tc>
          <w:tcPr>
            <w:tcW w:type="pct" w:w="11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Likelihood</w:t>
            </w:r>
          </w:p>
        </w:tc>
        <w:tc>
          <w:tcPr>
            <w:tcW w:type="pct" w:w="9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Impact</w:t>
            </w:r>
          </w:p>
        </w:tc>
        <w:tc>
          <w:tcPr>
            <w:tcW w:type="pct" w:w="13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Owner</w:t>
            </w:r>
          </w:p>
        </w:tc>
        <w:tc>
          <w:tcPr>
            <w:tcW w:type="pct" w:w="2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Exposed API keys enable account abuse or unexpected charges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Rotate keys (F-01); add secret scanning; least-privilege vendor keys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R-02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Meeting-recording without consent triggers regulatory or reputational harm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Consent gate, disclosure statement, retention policy (F-04)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Vendor pricing or rate-limit changes degrade the product or raise cost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Provider-neutral adapters; local-model evaluation (AMI-VCA-009)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R-04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Unsupervised sidecar crash halts AI features during a live meeting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Add sidecar supervision and restart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R-05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tests allow regressions as features are added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Deliver Quality Roadmap Phase 1–2 (AMI-QTS-007)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R-06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Windows-only validated capture limits platform claims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Validate macOS/Linux capture paths before marketing them</w:t>
            </w:r>
          </w:p>
        </w:tc>
      </w:tr>
    </w:tbl>
    <w:p>
      <w:pPr>
        <w:pStyle w:val="Heading2"/>
      </w:pPr>
      <w:bookmarkStart w:id="100004" w:name="_Toc100004"/>
      <w:r>
        <w:t xml:space="preserve">3.2 Assumptions</w:t>
      </w:r>
      <w:bookmarkEnd w:id="100004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35 — Assumptions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5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Assumption</w:t>
            </w:r>
          </w:p>
        </w:tc>
        <w:tc>
          <w:tcPr>
            <w:tcW w:type="pct" w:w="4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Consequence if False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A-01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 default audio output device is always present during capture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Capture start fails; user sees an error</w:t>
            </w:r>
          </w:p>
        </w:tc>
      </w:tr>
      <w:tr>
        <w:trPr>
          <w:cantSplit/>
        </w:trPr>
        <w:tc>
          <w:tcPr>
            <w:tcW w:type="pct" w:w="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A-02</w:t>
            </w:r>
          </w:p>
        </w:tc>
        <w:tc>
          <w:tcPr>
            <w:tcW w:type="pct" w:w="5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Network access to AssemblyAI and Google is available and broadband-grade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Transcription latency rises or connection fails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A-03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Vendor streaming/LLM services process audio transiently per their terms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Privacy posture depends on verifying current vendor terms</w:t>
            </w:r>
          </w:p>
        </w:tc>
      </w:tr>
      <w:tr>
        <w:trPr>
          <w:cantSplit/>
        </w:trPr>
        <w:tc>
          <w:tcPr>
            <w:tcW w:type="pct" w:w="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A-04</w:t>
            </w:r>
          </w:p>
        </w:tc>
        <w:tc>
          <w:tcPr>
            <w:tcW w:type="pct" w:w="5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Single-user, single-meeting use on one machine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Concurrent sessions are unsupported by design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A-05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PostgreSQL, when used, is administered and secured by the operator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Database hardening is out of the product's scope</w:t>
            </w:r>
          </w:p>
        </w:tc>
      </w:tr>
    </w:tbl>
    <w:p>
      <w:pPr>
        <w:pStyle w:val="Heading2"/>
      </w:pPr>
      <w:bookmarkStart w:id="100005" w:name="_Toc100005"/>
      <w:r>
        <w:t xml:space="preserve">3.3 Issues</w:t>
      </w:r>
      <w:bookmarkEnd w:id="100005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36 — Issues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4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Issue</w:t>
            </w:r>
          </w:p>
        </w:tc>
        <w:tc>
          <w:tcPr>
            <w:tcW w:type="pct" w:w="11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Severity</w:t>
            </w:r>
          </w:p>
        </w:tc>
        <w:tc>
          <w:tcPr>
            <w:tcW w:type="pct" w:w="9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pct" w:w="13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Owner</w:t>
            </w:r>
          </w:p>
        </w:tc>
        <w:tc>
          <w:tcPr>
            <w:tcW w:type="pct" w:w="1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I-01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Hardcoded API keys and DB password committed in three test files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Critical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Rotate immediately; refactor to env vars; scrub history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I-02</w:t>
            </w:r>
          </w:p>
        </w:tc>
        <w:tc>
          <w:tcPr>
            <w:tcW w:type="pct" w:w="4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Content Security Policy disabled with global Tauri bridge enabled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Enable restrictive CSP; disable withGlobalTauri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I-03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automated tests; test script is a failing stub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Deliver Quality Roadmap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I-04</w:t>
            </w:r>
          </w:p>
        </w:tc>
        <w:tc>
          <w:tcPr>
            <w:tcW w:type="pct" w:w="4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CI/CD pipeline or containerised environment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【DevOps】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Stand up pipeline (AMI-QTS-007 §5)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I-05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README references missing brain.md; product naming still generic (tauri-app)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Restore/remove blueprint; complete product identity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I-06</w:t>
            </w:r>
          </w:p>
        </w:tc>
        <w:tc>
          <w:tcPr>
            <w:tcW w:type="pct" w:w="4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innerHTML rendering of AI-generated text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Switch to safe DOM construction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I-07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Sidecar not packaged with the installer; resolved by relative path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Complete distribution bundling</w:t>
            </w:r>
          </w:p>
        </w:tc>
      </w:tr>
      <w:tr>
        <w:trPr>
          <w:cantSplit/>
        </w:trPr>
        <w:tc>
          <w:tcPr>
            <w:tcW w:type="pct" w:w="7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I-08</w:t>
            </w:r>
          </w:p>
        </w:tc>
        <w:tc>
          <w:tcPr>
            <w:tcW w:type="pct" w:w="4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meetings.summary never populated in practice</w:t>
            </w:r>
          </w:p>
        </w:tc>
        <w:tc>
          <w:tcPr>
            <w:tcW w:type="pct" w:w="11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pct" w:w="9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Open</w:t>
            </w:r>
          </w:p>
        </w:tc>
        <w:tc>
          <w:tcPr>
            <w:tcW w:type="pct" w:w="13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【Eng Lead】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Wire endMeeting summary from pipeline state</w:t>
            </w:r>
          </w:p>
        </w:tc>
      </w:tr>
    </w:tbl>
    <w:p>
      <w:pPr>
        <w:pStyle w:val="Heading2"/>
      </w:pPr>
      <w:bookmarkStart w:id="100006" w:name="_Toc100006"/>
      <w:r>
        <w:t xml:space="preserve">3.4 Dependencies</w:t>
      </w:r>
      <w:bookmarkEnd w:id="100006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37 — Dependencies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4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Dependency</w:t>
            </w:r>
          </w:p>
        </w:tc>
        <w:tc>
          <w:tcPr>
            <w:tcW w:type="pct" w:w="1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Type</w:t>
            </w:r>
          </w:p>
        </w:tc>
        <w:tc>
          <w:tcPr>
            <w:tcW w:type="pct" w:w="18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Managing Party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D-01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AssemblyAI account and API key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External service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Active — key must be rotated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</w:tr>
      <w:tr>
        <w:trPr>
          <w:cantSplit/>
        </w:trPr>
        <w:tc>
          <w:tcPr>
            <w:tcW w:type="pct" w:w="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D-02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Google AI Studio account and API key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External service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Active — key must be rotated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【Product Owner】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D-03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PostgreSQL instance (optional)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Infrastructure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Optional / user-provided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【Operator】</w:t>
            </w:r>
          </w:p>
        </w:tc>
      </w:tr>
      <w:tr>
        <w:trPr>
          <w:cantSplit/>
        </w:trPr>
        <w:tc>
          <w:tcPr>
            <w:tcW w:type="pct" w:w="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D-04</w:t>
            </w:r>
          </w:p>
        </w:tc>
        <w:tc>
          <w:tcPr>
            <w:tcW w:type="pct" w:w="4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Rust and Node.js toolchains on build machines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Tooling</w:t>
            </w:r>
          </w:p>
        </w:tc>
        <w:tc>
          <w:tcPr>
            <w:tcW w:type="pct" w:w="18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Available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【DevOps】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D-05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Legal review of recording-consent obligations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Internal service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Not started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【Legal】</w:t>
            </w:r>
          </w:p>
        </w:tc>
      </w:tr>
    </w:tbl>
    <w:p>
      <w:pPr>
        <w:pStyle w:val="Heading1"/>
      </w:pPr>
      <w:bookmarkStart w:id="100007" w:name="_Toc100007"/>
      <w:r>
        <w:t xml:space="preserve">4. Gap Analysis</w:t>
      </w:r>
      <w:bookmarkEnd w:id="100007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The gap analysis contrasts the current state with the minimum bar for production use.</w:t>
      </w:r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38 — Current vs Production Target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Dimension</w:t>
            </w:r>
          </w:p>
        </w:tc>
        <w:tc>
          <w:tcPr>
            <w:tcW w:type="pct" w:w="30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Current State</w:t>
            </w:r>
          </w:p>
        </w:tc>
        <w:tc>
          <w:tcPr>
            <w:tcW w:type="pct" w:w="34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Production Target</w:t>
            </w:r>
          </w:p>
        </w:tc>
        <w:tc>
          <w:tcPr>
            <w:tcW w:type="pct" w:w="1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Gap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Secrets management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Live keys committed to repo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Env-var only; scanned in CI; rotated on incident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Large — critical</w:t>
            </w:r>
          </w:p>
        </w:tc>
      </w:tr>
      <w:tr>
        <w:trPr>
          <w:cantSplit/>
        </w:trPr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Testing</w:t>
            </w:r>
          </w:p>
        </w:tc>
        <w:tc>
          <w:tcPr>
            <w:tcW w:type="pct" w:w="3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None automated</w:t>
            </w:r>
          </w:p>
        </w:tc>
        <w:tc>
          <w:tcPr>
            <w:tcW w:type="pct" w:w="3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Unit + integration suite green in CI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Large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Delivery pipeline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Manual builds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Automated build/test/guard pipeline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Large</w:t>
            </w:r>
          </w:p>
        </w:tc>
      </w:tr>
      <w:tr>
        <w:trPr>
          <w:cantSplit/>
        </w:trPr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Webview security</w:t>
            </w:r>
          </w:p>
        </w:tc>
        <w:tc>
          <w:tcPr>
            <w:tcW w:type="pct" w:w="3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CSP disabled; global bridge</w:t>
            </w:r>
          </w:p>
        </w:tc>
        <w:tc>
          <w:tcPr>
            <w:tcW w:type="pct" w:w="3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Restrictive CSP; module-scoped bridge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Privacy controls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None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Consent gate, retention, disclosure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Large</w:t>
            </w:r>
          </w:p>
        </w:tc>
      </w:tr>
      <w:tr>
        <w:trPr>
          <w:cantSplit/>
        </w:trPr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Resilience</w:t>
            </w:r>
          </w:p>
        </w:tc>
        <w:tc>
          <w:tcPr>
            <w:tcW w:type="pct" w:w="3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Graceful degradation present; no supervision</w:t>
            </w:r>
          </w:p>
        </w:tc>
        <w:tc>
          <w:tcPr>
            <w:tcW w:type="pct" w:w="3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Sidecar supervision; restart; health signals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Observability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Console logs only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Structured persistent logs; basic metrics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pct" w:w="2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Distribution</w:t>
            </w:r>
          </w:p>
        </w:tc>
        <w:tc>
          <w:tcPr>
            <w:tcW w:type="pct" w:w="30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Developer builds only</w:t>
            </w:r>
          </w:p>
        </w:tc>
        <w:tc>
          <w:tcPr>
            <w:tcW w:type="pct" w:w="34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Signed, bundled installers with sidecar included</w:t>
            </w:r>
          </w:p>
        </w:tc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Medium</w:t>
            </w:r>
          </w:p>
        </w:tc>
      </w:tr>
    </w:tbl>
    <w:p>
      <w:pPr>
        <w:pStyle w:val="Heading1"/>
      </w:pPr>
      <w:bookmarkStart w:id="100008" w:name="_Toc100008"/>
      <w:r>
        <w:t xml:space="preserve">5. Prioritised Next Steps (30/60/90-Day Roadmap)</w:t>
      </w:r>
      <w:bookmarkEnd w:id="100008"/>
    </w:p>
    <w:p>
      <w:pPr>
        <w:keepNext/>
        <w:spacing w:after="80" w:before="200" w:line="312"/>
      </w:pPr>
      <w:r>
        <w:rPr>
          <w:rFonts w:ascii="Times New Roman" w:eastAsia="Times New Roman"/>
          <w:b/>
          <w:bCs/>
          <w:color w:val="404040"/>
          <w:sz w:val="21"/>
          <w:szCs w:val="21"/>
        </w:rPr>
        <w:t xml:space="preserve">Table 39 — Roadmap</w:t>
      </w:r>
    </w:p>
    <w:tbl>
      <w:tblPr>
        <w:tblW w:type="pct" w:w="100%"/>
        <w:tblBorders>
          <w:top w:val="single" w:color="000000" w:sz="2"/>
          <w:left w:val="none"/>
          <w:bottom w:val="single" w:color="000000" w:sz="2"/>
          <w:right w:val="none"/>
          <w:insideH w:val="single" w:color="DDD8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Horizon</w:t>
            </w:r>
          </w:p>
        </w:tc>
        <w:tc>
          <w:tcPr>
            <w:tcW w:type="pct" w:w="5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Actions</w:t>
            </w:r>
          </w:p>
        </w:tc>
        <w:tc>
          <w:tcPr>
            <w:tcW w:type="pct" w:w="32%"/>
            <w:shd w:fill="D6C0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/>
                <w:b/>
                <w:bCs/>
                <w:color w:val="1A1A1A"/>
                <w:sz w:val="21"/>
                <w:szCs w:val="21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Next 30 days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Rotate credentials (I-01); refactor test scripts to env vars; enable secret scanning; enable CSP and disable global bridge (I-02); begin consent/retention design (R-02)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No live secrets in repo; scanner in CI; CSP enforced</w:t>
            </w:r>
          </w:p>
        </w:tc>
      </w:tr>
      <w:tr>
        <w:trPr>
          <w:cantSplit/>
        </w:trPr>
        <w:tc>
          <w:tcPr>
            <w:tcW w:type="pct" w:w="16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31–60 days</w:t>
            </w:r>
          </w:p>
        </w:tc>
        <w:tc>
          <w:tcPr>
            <w:tcW w:type="pct" w:w="5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Deliver Quality Roadmap Phases 1–2 (unit tests, CI Verify/Test stages); fix innerHTML rendering (I-06); commit gateway lockfile</w:t>
            </w:r>
          </w:p>
        </w:tc>
        <w:tc>
          <w:tcPr>
            <w:tcW w:type="pct" w:w="32%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Pipeline green with baseline tests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61–90 days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Quality Roadmap Phase 3 (frontend tests, E2E smoke); sidecar supervision; cost telemetry and configurable cap; consent gate implemented; complete product identity and documentation (I-05); complete installer bundling (I-07)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Times New Roman" w:eastAsia="Times New Roman"/>
                <w:color w:val="000000"/>
                <w:sz w:val="21"/>
                <w:szCs w:val="21"/>
              </w:rPr>
              <w:t xml:space="preserve">Internal beta candidate with documented consent flow</w:t>
            </w:r>
          </w:p>
        </w:tc>
      </w:tr>
    </w:tbl>
    <w:p>
      <w:pPr>
        <w:pStyle w:val="Heading1"/>
      </w:pPr>
      <w:bookmarkStart w:id="100009" w:name="_Toc100009"/>
      <w:r>
        <w:t xml:space="preserve">6. Overall Assessment</w:t>
      </w:r>
      <w:bookmarkEnd w:id="100009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The engineering foundation of the AI Meeting Interpreter is credible: a clean separation between a latency-sensitive Rust audio path and an easily iterated Node intelligence path, sensible cost containment, and graceful degradation where it matters. The work required to reach a production-worthy posture is concentrated in security hygiene, quality assurance and privacy — all addressable within the roadmap above without re-architecting the product. The single non-negotiable immediate action is rotation of the exposed credentials.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2" w:space="4"/>
      </w:pBdr>
      <w:jc w:val="right"/>
    </w:pPr>
    <w:r>
      <w:rPr>
        <w:rFonts w:ascii="Times New Roman" w:eastAsia="Times New Roman"/>
        <w:color w:val="A0A0A0"/>
        <w:sz w:val="16"/>
        <w:szCs w:val="16"/>
      </w:rPr>
      <w:t xml:space="preserve">Project Status and RAID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312"/>
      <w:outlineLvl w:val="2"/>
    </w:pPr>
    <w:rPr>
      <w:rFonts w:ascii="Times New Roman" w:eastAsia="Times New Roman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and RAID Report</dc:title>
  <dc:creator>Technology Advisory Practice</dc:creator>
  <cp:lastModifiedBy>Un-named</cp:lastModifiedBy>
  <cp:revision>1</cp:revision>
  <dcterms:created xsi:type="dcterms:W3CDTF">2026-08-18T04:50:54.323Z</dcterms:created>
  <dcterms:modified xsi:type="dcterms:W3CDTF">2026-08-18T04:50:54.323Z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