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pPr>
      <w:r>
        <w:t xml:space="preserve"/>
      </w:r>
    </w:p>
    <w:p>
      <w:pPr>
        <w:spacing w:after="120"/>
        <w:jc w:val="left"/>
      </w:pPr>
      <w:r>
        <w:rPr>
          <w:rFonts w:ascii="Arial" w:cs="Arial" w:eastAsia="Arial" w:hAnsi="Arial"/>
          <w:b/>
          <w:bCs/>
          <w:color w:val="2C5F8A"/>
          <w:sz w:val="20"/>
          <w:szCs w:val="20"/>
        </w:rPr>
        <w:t xml:space="preserve">PROJECT DOCUMENTATION</w:t>
      </w:r>
    </w:p>
    <w:p>
      <w:pPr>
        <w:spacing w:after="200"/>
        <w:jc w:val="left"/>
      </w:pPr>
      <w:r>
        <w:rPr>
          <w:rFonts w:ascii="Arial" w:cs="Arial" w:eastAsia="Arial" w:hAnsi="Arial"/>
          <w:b/>
          <w:bCs/>
          <w:color w:val="1B2A4A"/>
          <w:sz w:val="56"/>
          <w:szCs w:val="56"/>
        </w:rPr>
        <w:t xml:space="preserve">Global Fuel Price Intelligence</w:t>
      </w:r>
    </w:p>
    <w:p>
      <w:pPr>
        <w:spacing w:after="400"/>
        <w:jc w:val="left"/>
      </w:pPr>
      <w:r>
        <w:rPr>
          <w:rFonts w:ascii="Arial" w:cs="Arial" w:eastAsia="Arial" w:hAnsi="Arial"/>
          <w:color w:val="555555"/>
          <w:sz w:val="26"/>
          <w:szCs w:val="26"/>
        </w:rPr>
        <w:t xml:space="preserve">Structural trends, volatility risks, and predictive signals across 56 years of energy markets (1970–2026).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CDCDC" w:sz="4"/>
              <w:left w:val="single" w:color="DCDCDC" w:sz="4"/>
              <w:bottom w:val="single" w:color="DCDCDC" w:sz="4"/>
              <w:right w:val="single" w:color="DCDCDC" w:sz="4"/>
            </w:tcBorders>
            <w:shd w:fill="F4F4F4" w:val="clear"/>
            <w:tcMar>
              <w:top w:type="dxa" w:w="160"/>
              <w:left w:type="dxa" w:w="140"/>
              <w:bottom w:type="dxa" w:w="160"/>
              <w:right w:type="dxa" w:w="140"/>
            </w:tcMar>
            <w:vAlign w:val="center"/>
          </w:tcPr>
          <w:p>
            <w:pPr>
              <w:spacing w:after="40"/>
              <w:jc w:val="center"/>
            </w:pPr>
            <w:r>
              <w:rPr>
                <w:rFonts w:ascii="Arial" w:cs="Arial" w:eastAsia="Arial" w:hAnsi="Arial"/>
                <w:b/>
                <w:bCs/>
                <w:color w:val="C75B1A"/>
                <w:sz w:val="36"/>
                <w:szCs w:val="36"/>
              </w:rPr>
              <w:t xml:space="preserve">2,700</w:t>
            </w:r>
          </w:p>
          <w:p>
            <w:pPr>
              <w:jc w:val="center"/>
            </w:pPr>
            <w:r>
              <w:rPr>
                <w:rFonts w:ascii="Arial" w:cs="Arial" w:eastAsia="Arial" w:hAnsi="Arial"/>
                <w:color w:val="555555"/>
                <w:sz w:val="17"/>
                <w:szCs w:val="17"/>
              </w:rPr>
              <w:t xml:space="preserve">Monthly Data Points</w:t>
            </w:r>
          </w:p>
        </w:tc>
        <w:tc>
          <w:tcPr>
            <w:tcW w:type="dxa" w:w="1504"/>
            <w:tcBorders>
              <w:top w:val="single" w:color="DCDCDC" w:sz="4"/>
              <w:left w:val="single" w:color="DCDCDC" w:sz="4"/>
              <w:bottom w:val="single" w:color="DCDCDC" w:sz="4"/>
              <w:right w:val="single" w:color="DCDCDC" w:sz="4"/>
            </w:tcBorders>
            <w:shd w:fill="F4F4F4" w:val="clear"/>
            <w:tcMar>
              <w:top w:type="dxa" w:w="160"/>
              <w:left w:type="dxa" w:w="140"/>
              <w:bottom w:type="dxa" w:w="160"/>
              <w:right w:type="dxa" w:w="140"/>
            </w:tcMar>
            <w:vAlign w:val="center"/>
          </w:tcPr>
          <w:p>
            <w:pPr>
              <w:spacing w:after="40"/>
              <w:jc w:val="center"/>
            </w:pPr>
            <w:r>
              <w:rPr>
                <w:rFonts w:ascii="Arial" w:cs="Arial" w:eastAsia="Arial" w:hAnsi="Arial"/>
                <w:b/>
                <w:bCs/>
                <w:color w:val="C75B1A"/>
                <w:sz w:val="36"/>
                <w:szCs w:val="36"/>
              </w:rPr>
              <w:t xml:space="preserve">4</w:t>
            </w:r>
          </w:p>
          <w:p>
            <w:pPr>
              <w:jc w:val="center"/>
            </w:pPr>
            <w:r>
              <w:rPr>
                <w:rFonts w:ascii="Arial" w:cs="Arial" w:eastAsia="Arial" w:hAnsi="Arial"/>
                <w:color w:val="555555"/>
                <w:sz w:val="17"/>
                <w:szCs w:val="17"/>
              </w:rPr>
              <w:t xml:space="preserve">Global Regions</w:t>
            </w:r>
          </w:p>
        </w:tc>
        <w:tc>
          <w:tcPr>
            <w:tcW w:type="dxa" w:w="1504"/>
            <w:tcBorders>
              <w:top w:val="single" w:color="DCDCDC" w:sz="4"/>
              <w:left w:val="single" w:color="DCDCDC" w:sz="4"/>
              <w:bottom w:val="single" w:color="DCDCDC" w:sz="4"/>
              <w:right w:val="single" w:color="DCDCDC" w:sz="4"/>
            </w:tcBorders>
            <w:shd w:fill="F4F4F4" w:val="clear"/>
            <w:tcMar>
              <w:top w:type="dxa" w:w="160"/>
              <w:left w:type="dxa" w:w="140"/>
              <w:bottom w:type="dxa" w:w="160"/>
              <w:right w:type="dxa" w:w="140"/>
            </w:tcMar>
            <w:vAlign w:val="center"/>
          </w:tcPr>
          <w:p>
            <w:pPr>
              <w:spacing w:after="40"/>
              <w:jc w:val="center"/>
            </w:pPr>
            <w:r>
              <w:rPr>
                <w:rFonts w:ascii="Arial" w:cs="Arial" w:eastAsia="Arial" w:hAnsi="Arial"/>
                <w:b/>
                <w:bCs/>
                <w:color w:val="C75B1A"/>
                <w:sz w:val="36"/>
                <w:szCs w:val="36"/>
              </w:rPr>
              <w:t xml:space="preserve">26</w:t>
            </w:r>
          </w:p>
          <w:p>
            <w:pPr>
              <w:jc w:val="center"/>
            </w:pPr>
            <w:r>
              <w:rPr>
                <w:rFonts w:ascii="Arial" w:cs="Arial" w:eastAsia="Arial" w:hAnsi="Arial"/>
                <w:color w:val="555555"/>
                <w:sz w:val="17"/>
                <w:szCs w:val="17"/>
              </w:rPr>
              <w:t xml:space="preserve">Geopolitical Events</w:t>
            </w:r>
          </w:p>
        </w:tc>
        <w:tc>
          <w:tcPr>
            <w:tcW w:type="dxa" w:w="1504"/>
            <w:tcBorders>
              <w:top w:val="single" w:color="DCDCDC" w:sz="4"/>
              <w:left w:val="single" w:color="DCDCDC" w:sz="4"/>
              <w:bottom w:val="single" w:color="DCDCDC" w:sz="4"/>
              <w:right w:val="single" w:color="DCDCDC" w:sz="4"/>
            </w:tcBorders>
            <w:shd w:fill="F4F4F4" w:val="clear"/>
            <w:tcMar>
              <w:top w:type="dxa" w:w="160"/>
              <w:left w:type="dxa" w:w="140"/>
              <w:bottom w:type="dxa" w:w="160"/>
              <w:right w:type="dxa" w:w="140"/>
            </w:tcMar>
            <w:vAlign w:val="center"/>
          </w:tcPr>
          <w:p>
            <w:pPr>
              <w:spacing w:after="40"/>
              <w:jc w:val="center"/>
            </w:pPr>
            <w:r>
              <w:rPr>
                <w:rFonts w:ascii="Arial" w:cs="Arial" w:eastAsia="Arial" w:hAnsi="Arial"/>
                <w:b/>
                <w:bCs/>
                <w:color w:val="C75B1A"/>
                <w:sz w:val="36"/>
                <w:szCs w:val="36"/>
              </w:rPr>
              <w:t xml:space="preserve">12</w:t>
            </w:r>
          </w:p>
          <w:p>
            <w:pPr>
              <w:jc w:val="center"/>
            </w:pPr>
            <w:r>
              <w:rPr>
                <w:rFonts w:ascii="Arial" w:cs="Arial" w:eastAsia="Arial" w:hAnsi="Arial"/>
                <w:color w:val="555555"/>
                <w:sz w:val="17"/>
                <w:szCs w:val="17"/>
              </w:rPr>
              <w:t xml:space="preserve">Calculated Variables</w:t>
            </w:r>
          </w:p>
        </w:tc>
        <w:tc>
          <w:tcPr>
            <w:tcW w:type="dxa" w:w="1504"/>
            <w:tcBorders>
              <w:top w:val="single" w:color="DCDCDC" w:sz="4"/>
              <w:left w:val="single" w:color="DCDCDC" w:sz="4"/>
              <w:bottom w:val="single" w:color="DCDCDC" w:sz="4"/>
              <w:right w:val="single" w:color="DCDCDC" w:sz="4"/>
            </w:tcBorders>
            <w:shd w:fill="F4F4F4" w:val="clear"/>
            <w:tcMar>
              <w:top w:type="dxa" w:w="160"/>
              <w:left w:type="dxa" w:w="140"/>
              <w:bottom w:type="dxa" w:w="160"/>
              <w:right w:type="dxa" w:w="140"/>
            </w:tcMar>
            <w:vAlign w:val="center"/>
          </w:tcPr>
          <w:p>
            <w:pPr>
              <w:spacing w:after="40"/>
              <w:jc w:val="center"/>
            </w:pPr>
            <w:r>
              <w:rPr>
                <w:rFonts w:ascii="Arial" w:cs="Arial" w:eastAsia="Arial" w:hAnsi="Arial"/>
                <w:b/>
                <w:bCs/>
                <w:color w:val="C75B1A"/>
                <w:sz w:val="36"/>
                <w:szCs w:val="36"/>
              </w:rPr>
              <w:t xml:space="preserve">$143.18</w:t>
            </w:r>
          </w:p>
          <w:p>
            <w:pPr>
              <w:jc w:val="center"/>
            </w:pPr>
            <w:r>
              <w:rPr>
                <w:rFonts w:ascii="Arial" w:cs="Arial" w:eastAsia="Arial" w:hAnsi="Arial"/>
                <w:color w:val="555555"/>
                <w:sz w:val="17"/>
                <w:szCs w:val="17"/>
              </w:rPr>
              <w:t xml:space="preserve">All-Time Peak (2008)</w:t>
            </w:r>
          </w:p>
        </w:tc>
        <w:tc>
          <w:tcPr>
            <w:tcW w:type="dxa" w:w="1504"/>
            <w:tcBorders>
              <w:top w:val="single" w:color="DCDCDC" w:sz="4"/>
              <w:left w:val="single" w:color="DCDCDC" w:sz="4"/>
              <w:bottom w:val="single" w:color="DCDCDC" w:sz="4"/>
              <w:right w:val="single" w:color="DCDCDC" w:sz="4"/>
            </w:tcBorders>
            <w:shd w:fill="F4F4F4" w:val="clear"/>
            <w:tcMar>
              <w:top w:type="dxa" w:w="160"/>
              <w:left w:type="dxa" w:w="140"/>
              <w:bottom w:type="dxa" w:w="160"/>
              <w:right w:type="dxa" w:w="140"/>
            </w:tcMar>
            <w:vAlign w:val="center"/>
          </w:tcPr>
          <w:p>
            <w:pPr>
              <w:spacing w:after="40"/>
              <w:jc w:val="center"/>
            </w:pPr>
            <w:r>
              <w:rPr>
                <w:rFonts w:ascii="Arial" w:cs="Arial" w:eastAsia="Arial" w:hAnsi="Arial"/>
                <w:b/>
                <w:bCs/>
                <w:color w:val="C75B1A"/>
                <w:sz w:val="36"/>
                <w:szCs w:val="36"/>
              </w:rPr>
              <w:t xml:space="preserve">2,252%</w:t>
            </w:r>
          </w:p>
          <w:p>
            <w:pPr>
              <w:jc w:val="center"/>
            </w:pPr>
            <w:r>
              <w:rPr>
                <w:rFonts w:ascii="Arial" w:cs="Arial" w:eastAsia="Arial" w:hAnsi="Arial"/>
                <w:color w:val="555555"/>
                <w:sz w:val="17"/>
                <w:szCs w:val="17"/>
              </w:rPr>
              <w:t xml:space="preserve">56-Year Growth</w:t>
            </w:r>
          </w:p>
        </w:tc>
      </w:tr>
    </w:tbl>
    <w:p>
      <w:pPr>
        <w:spacing w:after="4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5"/>
      </w:tblGrid>
      <w:tr>
        <w:tc>
          <w:tcPr>
            <w:tcW w:type="dxa" w:w="3610"/>
            <w:tcBorders>
              <w:top w:val="single" w:color="DCDCDC" w:sz="4"/>
              <w:left w:val="single" w:color="DCDCDC" w:sz="4"/>
              <w:bottom w:val="single" w:color="DCDCDC" w:sz="4"/>
              <w:right w:val="single" w:color="DCDCDC" w:sz="4"/>
            </w:tcBorders>
            <w:shd w:fill="F4F4F4" w:val="clear"/>
            <w:tcMar>
              <w:top w:type="dxa" w:w="80"/>
              <w:left w:type="dxa" w:w="120"/>
              <w:bottom w:type="dxa" w:w="80"/>
              <w:right w:type="dxa" w:w="120"/>
            </w:tcMar>
          </w:tcPr>
          <w:p>
            <w:r>
              <w:rPr>
                <w:rFonts w:ascii="Arial" w:cs="Arial" w:eastAsia="Arial" w:hAnsi="Arial"/>
                <w:b/>
                <w:bCs/>
                <w:color w:val="1B2A4A"/>
                <w:sz w:val="19"/>
                <w:szCs w:val="19"/>
              </w:rPr>
              <w:t xml:space="preserve">Project Name</w:t>
            </w:r>
          </w:p>
        </w:tc>
        <w:tc>
          <w:tcPr>
            <w:tcW w:type="dxa" w:w="5415"/>
            <w:tcBorders>
              <w:top w:val="single" w:color="DCDCDC" w:sz="4"/>
              <w:left w:val="single" w:color="DCDCDC" w:sz="4"/>
              <w:bottom w:val="single" w:color="DCDCDC" w:sz="4"/>
              <w:right w:val="single" w:color="DCDCDC" w:sz="4"/>
            </w:tcBorders>
            <w:shd w:fill="F4F4F4" w:val="clear"/>
            <w:tcMar>
              <w:top w:type="dxa" w:w="80"/>
              <w:left w:type="dxa" w:w="120"/>
              <w:bottom w:type="dxa" w:w="80"/>
              <w:right w:type="dxa" w:w="120"/>
            </w:tcMar>
          </w:tcPr>
          <w:p>
            <w:r>
              <w:rPr>
                <w:rFonts w:ascii="Arial" w:cs="Arial" w:eastAsia="Arial" w:hAnsi="Arial"/>
                <w:color w:val="1A1A1A"/>
                <w:sz w:val="19"/>
                <w:szCs w:val="19"/>
              </w:rPr>
              <w:t xml:space="preserve">Global Fuel Price Intelligence Dashboard</w:t>
            </w:r>
          </w:p>
        </w:tc>
      </w:tr>
      <w:tr>
        <w:tc>
          <w:tcPr>
            <w:tcW w:type="dxa" w:w="3610"/>
            <w:tcBorders>
              <w:top w:val="single" w:color="DCDCDC" w:sz="4"/>
              <w:left w:val="single" w:color="DCDCDC" w:sz="4"/>
              <w:bottom w:val="single" w:color="DCDCDC" w:sz="4"/>
              <w:right w:val="single" w:color="DCDCDC" w:sz="4"/>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Tool Used</w:t>
            </w:r>
          </w:p>
        </w:tc>
        <w:tc>
          <w:tcPr>
            <w:tcW w:type="dxa" w:w="5415"/>
            <w:tcBorders>
              <w:top w:val="single" w:color="DCDCDC" w:sz="4"/>
              <w:left w:val="single" w:color="DCDCDC" w:sz="4"/>
              <w:bottom w:val="single" w:color="DCDCDC" w:sz="4"/>
              <w:right w:val="single" w:color="DCDCDC" w:sz="4"/>
            </w:tcBorders>
            <w:shd w:fill="FFFFFF" w:val="clear"/>
            <w:tcMar>
              <w:top w:type="dxa" w:w="80"/>
              <w:left w:type="dxa" w:w="120"/>
              <w:bottom w:type="dxa" w:w="80"/>
              <w:right w:type="dxa" w:w="120"/>
            </w:tcMar>
          </w:tcPr>
          <w:p>
            <w:r>
              <w:rPr>
                <w:rFonts w:ascii="Arial" w:cs="Arial" w:eastAsia="Arial" w:hAnsi="Arial"/>
                <w:color w:val="1A1A1A"/>
                <w:sz w:val="19"/>
                <w:szCs w:val="19"/>
              </w:rPr>
              <w:t xml:space="preserve">Microsoft Excel — Advanced Analytics + Dashboard</w:t>
            </w:r>
          </w:p>
        </w:tc>
      </w:tr>
      <w:tr>
        <w:tc>
          <w:tcPr>
            <w:tcW w:type="dxa" w:w="3610"/>
            <w:tcBorders>
              <w:top w:val="single" w:color="DCDCDC" w:sz="4"/>
              <w:left w:val="single" w:color="DCDCDC" w:sz="4"/>
              <w:bottom w:val="single" w:color="DCDCDC" w:sz="4"/>
              <w:right w:val="single" w:color="DCDCDC" w:sz="4"/>
            </w:tcBorders>
            <w:shd w:fill="F4F4F4" w:val="clear"/>
            <w:tcMar>
              <w:top w:type="dxa" w:w="80"/>
              <w:left w:type="dxa" w:w="120"/>
              <w:bottom w:type="dxa" w:w="80"/>
              <w:right w:type="dxa" w:w="120"/>
            </w:tcMar>
          </w:tcPr>
          <w:p>
            <w:r>
              <w:rPr>
                <w:rFonts w:ascii="Arial" w:cs="Arial" w:eastAsia="Arial" w:hAnsi="Arial"/>
                <w:b/>
                <w:bCs/>
                <w:color w:val="1B2A4A"/>
                <w:sz w:val="19"/>
                <w:szCs w:val="19"/>
              </w:rPr>
              <w:t xml:space="preserve">Data Scope</w:t>
            </w:r>
          </w:p>
        </w:tc>
        <w:tc>
          <w:tcPr>
            <w:tcW w:type="dxa" w:w="5415"/>
            <w:tcBorders>
              <w:top w:val="single" w:color="DCDCDC" w:sz="4"/>
              <w:left w:val="single" w:color="DCDCDC" w:sz="4"/>
              <w:bottom w:val="single" w:color="DCDCDC" w:sz="4"/>
              <w:right w:val="single" w:color="DCDCDC" w:sz="4"/>
            </w:tcBorders>
            <w:shd w:fill="F4F4F4" w:val="clear"/>
            <w:tcMar>
              <w:top w:type="dxa" w:w="80"/>
              <w:left w:type="dxa" w:w="120"/>
              <w:bottom w:type="dxa" w:w="80"/>
              <w:right w:type="dxa" w:w="120"/>
            </w:tcMar>
          </w:tcPr>
          <w:p>
            <w:r>
              <w:rPr>
                <w:rFonts w:ascii="Arial" w:cs="Arial" w:eastAsia="Arial" w:hAnsi="Arial"/>
                <w:color w:val="1A1A1A"/>
                <w:sz w:val="19"/>
                <w:szCs w:val="19"/>
              </w:rPr>
              <w:t xml:space="preserve">January 1970 to December 2026 (2,700 rows, 33 columns)</w:t>
            </w:r>
          </w:p>
        </w:tc>
      </w:tr>
      <w:tr>
        <w:tc>
          <w:tcPr>
            <w:tcW w:type="dxa" w:w="3610"/>
            <w:tcBorders>
              <w:top w:val="single" w:color="DCDCDC" w:sz="4"/>
              <w:left w:val="single" w:color="DCDCDC" w:sz="4"/>
              <w:bottom w:val="single" w:color="DCDCDC" w:sz="4"/>
              <w:right w:val="single" w:color="DCDCDC" w:sz="4"/>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Regions Covered</w:t>
            </w:r>
          </w:p>
        </w:tc>
        <w:tc>
          <w:tcPr>
            <w:tcW w:type="dxa" w:w="5415"/>
            <w:tcBorders>
              <w:top w:val="single" w:color="DCDCDC" w:sz="4"/>
              <w:left w:val="single" w:color="DCDCDC" w:sz="4"/>
              <w:bottom w:val="single" w:color="DCDCDC" w:sz="4"/>
              <w:right w:val="single" w:color="DCDCDC" w:sz="4"/>
            </w:tcBorders>
            <w:shd w:fill="FFFFFF" w:val="clear"/>
            <w:tcMar>
              <w:top w:type="dxa" w:w="80"/>
              <w:left w:type="dxa" w:w="120"/>
              <w:bottom w:type="dxa" w:w="80"/>
              <w:right w:type="dxa" w:w="120"/>
            </w:tcMar>
          </w:tcPr>
          <w:p>
            <w:r>
              <w:rPr>
                <w:rFonts w:ascii="Arial" w:cs="Arial" w:eastAsia="Arial" w:hAnsi="Arial"/>
                <w:color w:val="1A1A1A"/>
                <w:sz w:val="19"/>
                <w:szCs w:val="19"/>
              </w:rPr>
              <w:t xml:space="preserve">Asia, Europe, Middle East, United States</w:t>
            </w:r>
          </w:p>
        </w:tc>
      </w:tr>
      <w:tr>
        <w:tc>
          <w:tcPr>
            <w:tcW w:type="dxa" w:w="3610"/>
            <w:tcBorders>
              <w:top w:val="single" w:color="DCDCDC" w:sz="4"/>
              <w:left w:val="single" w:color="DCDCDC" w:sz="4"/>
              <w:bottom w:val="single" w:color="DCDCDC" w:sz="4"/>
              <w:right w:val="single" w:color="DCDCDC" w:sz="4"/>
            </w:tcBorders>
            <w:shd w:fill="F4F4F4" w:val="clear"/>
            <w:tcMar>
              <w:top w:type="dxa" w:w="80"/>
              <w:left w:type="dxa" w:w="120"/>
              <w:bottom w:type="dxa" w:w="80"/>
              <w:right w:type="dxa" w:w="120"/>
            </w:tcMar>
          </w:tcPr>
          <w:p>
            <w:r>
              <w:rPr>
                <w:rFonts w:ascii="Arial" w:cs="Arial" w:eastAsia="Arial" w:hAnsi="Arial"/>
                <w:b/>
                <w:bCs/>
                <w:color w:val="1B2A4A"/>
                <w:sz w:val="19"/>
                <w:szCs w:val="19"/>
              </w:rPr>
              <w:t xml:space="preserve">Analysis Type</w:t>
            </w:r>
          </w:p>
        </w:tc>
        <w:tc>
          <w:tcPr>
            <w:tcW w:type="dxa" w:w="5415"/>
            <w:tcBorders>
              <w:top w:val="single" w:color="DCDCDC" w:sz="4"/>
              <w:left w:val="single" w:color="DCDCDC" w:sz="4"/>
              <w:bottom w:val="single" w:color="DCDCDC" w:sz="4"/>
              <w:right w:val="single" w:color="DCDCDC" w:sz="4"/>
            </w:tcBorders>
            <w:shd w:fill="F4F4F4" w:val="clear"/>
            <w:tcMar>
              <w:top w:type="dxa" w:w="80"/>
              <w:left w:type="dxa" w:w="120"/>
              <w:bottom w:type="dxa" w:w="80"/>
              <w:right w:type="dxa" w:w="120"/>
            </w:tcMar>
          </w:tcPr>
          <w:p>
            <w:r>
              <w:rPr>
                <w:rFonts w:ascii="Arial" w:cs="Arial" w:eastAsia="Arial" w:hAnsi="Arial"/>
                <w:color w:val="1A1A1A"/>
                <w:sz w:val="19"/>
                <w:szCs w:val="19"/>
              </w:rPr>
              <w:t xml:space="preserve">Time-series, volatility, trend, geopolitical event impact</w:t>
            </w:r>
          </w:p>
        </w:tc>
      </w:tr>
      <w:tr>
        <w:tc>
          <w:tcPr>
            <w:tcW w:type="dxa" w:w="3610"/>
            <w:tcBorders>
              <w:top w:val="single" w:color="DCDCDC" w:sz="4"/>
              <w:left w:val="single" w:color="DCDCDC" w:sz="4"/>
              <w:bottom w:val="single" w:color="DCDCDC" w:sz="4"/>
              <w:right w:val="single" w:color="DCDCDC" w:sz="4"/>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Document Type</w:t>
            </w:r>
          </w:p>
        </w:tc>
        <w:tc>
          <w:tcPr>
            <w:tcW w:type="dxa" w:w="5415"/>
            <w:tcBorders>
              <w:top w:val="single" w:color="DCDCDC" w:sz="4"/>
              <w:left w:val="single" w:color="DCDCDC" w:sz="4"/>
              <w:bottom w:val="single" w:color="DCDCDC" w:sz="4"/>
              <w:right w:val="single" w:color="DCDCDC" w:sz="4"/>
            </w:tcBorders>
            <w:shd w:fill="FFFFFF" w:val="clear"/>
            <w:tcMar>
              <w:top w:type="dxa" w:w="80"/>
              <w:left w:type="dxa" w:w="120"/>
              <w:bottom w:type="dxa" w:w="80"/>
              <w:right w:type="dxa" w:w="120"/>
            </w:tcMar>
          </w:tcPr>
          <w:p>
            <w:r>
              <w:rPr>
                <w:rFonts w:ascii="Arial" w:cs="Arial" w:eastAsia="Arial" w:hAnsi="Arial"/>
                <w:color w:val="1A1A1A"/>
                <w:sz w:val="19"/>
                <w:szCs w:val="19"/>
              </w:rPr>
              <w:t xml:space="preserve">Project Documentation — Portfolio Submission</w:t>
            </w:r>
          </w:p>
        </w:tc>
      </w:tr>
    </w:tbl>
    <w:p>
      <w:r>
        <w:br w:type="page"/>
      </w:r>
    </w:p>
    <w:p>
      <w:pPr>
        <w:pStyle w:val="Heading1"/>
        <w:spacing w:after="160" w:before="320"/>
      </w:pPr>
      <w:r>
        <w:rPr>
          <w:rFonts w:ascii="Arial" w:cs="Arial" w:eastAsia="Arial" w:hAnsi="Arial"/>
          <w:b/>
          <w:bCs/>
          <w:color w:val="1B2A4A"/>
          <w:sz w:val="36"/>
          <w:szCs w:val="36"/>
        </w:rPr>
        <w:t xml:space="preserve">1.  Project Overview</w:t>
      </w:r>
    </w:p>
    <w:p>
      <w:pPr>
        <w:spacing w:after="120"/>
      </w:pPr>
      <w:r>
        <w:rPr>
          <w:rFonts w:ascii="Arial" w:cs="Arial" w:eastAsia="Arial" w:hAnsi="Arial"/>
          <w:color w:val="1A1A1A"/>
          <w:sz w:val="21"/>
          <w:szCs w:val="21"/>
        </w:rPr>
        <w:t xml:space="preserve">This document provides a structured account of the Global Fuel Price Intelligence project, an end-to-end data analytics case study built in Microsoft Excel. The project analyses 56 consecutive years of global fuel price data across crude oil, petrol, and diesel, covering four major geographic regions. It transforms raw time-series data into an interactive Excel dashboard, a series of analytical pivot tables, and a 14-slide presentation identifying structural patterns, volatility regimes, regional policy divergence, and predictive leading indicators.</w:t>
      </w:r>
    </w:p>
    <w:p>
      <w:pPr>
        <w:spacing w:after="120"/>
      </w:pPr>
      <w:r>
        <w:rPr>
          <w:rFonts w:ascii="Arial" w:cs="Arial" w:eastAsia="Arial" w:hAnsi="Arial"/>
          <w:color w:val="1A1A1A"/>
          <w:sz w:val="21"/>
          <w:szCs w:val="21"/>
        </w:rPr>
        <w:t xml:space="preserve">The work is intended to demonstrate competency across the full data analyst workflow: data ingestion and cleaning, calculated variable engineering, analytical modelling, visualisation, and executive communication.</w:t>
      </w:r>
    </w:p>
    <w:p>
      <w:pPr>
        <w:pStyle w:val="Heading2"/>
        <w:spacing w:after="120" w:before="240"/>
      </w:pPr>
      <w:r>
        <w:rPr>
          <w:rFonts w:ascii="Arial" w:cs="Arial" w:eastAsia="Arial" w:hAnsi="Arial"/>
          <w:b/>
          <w:bCs/>
          <w:color w:val="1B2A4A"/>
          <w:sz w:val="26"/>
          <w:szCs w:val="26"/>
        </w:rPr>
        <w:t xml:space="preserve">1.1  Objectives</w:t>
      </w:r>
    </w:p>
    <w:p>
      <w:pPr>
        <w:pStyle w:val="ListParagraph"/>
        <w:numPr>
          <w:ilvl w:val="0"/>
          <w:numId w:val="2"/>
        </w:numPr>
        <w:spacing w:after="80"/>
      </w:pPr>
      <w:r>
        <w:rPr>
          <w:rFonts w:ascii="Arial" w:cs="Arial" w:eastAsia="Arial" w:hAnsi="Arial"/>
          <w:color w:val="1A1A1A"/>
          <w:sz w:val="21"/>
          <w:szCs w:val="21"/>
        </w:rPr>
        <w:t xml:space="preserve">Identify structural price trends across six decades of global energy markets</w:t>
      </w:r>
    </w:p>
    <w:p>
      <w:pPr>
        <w:pStyle w:val="ListParagraph"/>
        <w:numPr>
          <w:ilvl w:val="0"/>
          <w:numId w:val="2"/>
        </w:numPr>
        <w:spacing w:after="80"/>
      </w:pPr>
      <w:r>
        <w:rPr>
          <w:rFonts w:ascii="Arial" w:cs="Arial" w:eastAsia="Arial" w:hAnsi="Arial"/>
          <w:color w:val="1A1A1A"/>
          <w:sz w:val="21"/>
          <w:szCs w:val="21"/>
        </w:rPr>
        <w:t xml:space="preserve">Quantify the impact of 26 geopolitical events on crude oil prices</w:t>
      </w:r>
    </w:p>
    <w:p>
      <w:pPr>
        <w:pStyle w:val="ListParagraph"/>
        <w:numPr>
          <w:ilvl w:val="0"/>
          <w:numId w:val="2"/>
        </w:numPr>
        <w:spacing w:after="80"/>
      </w:pPr>
      <w:r>
        <w:rPr>
          <w:rFonts w:ascii="Arial" w:cs="Arial" w:eastAsia="Arial" w:hAnsi="Arial"/>
          <w:color w:val="1A1A1A"/>
          <w:sz w:val="21"/>
          <w:szCs w:val="21"/>
        </w:rPr>
        <w:t xml:space="preserve">Engineer 12 calculated analytics columns to enrich the raw dataset</w:t>
      </w:r>
    </w:p>
    <w:p>
      <w:pPr>
        <w:pStyle w:val="ListParagraph"/>
        <w:numPr>
          <w:ilvl w:val="0"/>
          <w:numId w:val="2"/>
        </w:numPr>
        <w:spacing w:after="80"/>
      </w:pPr>
      <w:r>
        <w:rPr>
          <w:rFonts w:ascii="Arial" w:cs="Arial" w:eastAsia="Arial" w:hAnsi="Arial"/>
          <w:color w:val="1A1A1A"/>
          <w:sz w:val="21"/>
          <w:szCs w:val="21"/>
        </w:rPr>
        <w:t xml:space="preserve">Build an interactive Excel dashboard with 6 charts, 7 KPI cards, and 8 pivot tables</w:t>
      </w:r>
    </w:p>
    <w:p>
      <w:pPr>
        <w:pStyle w:val="ListParagraph"/>
        <w:numPr>
          <w:ilvl w:val="0"/>
          <w:numId w:val="2"/>
        </w:numPr>
        <w:spacing w:after="80"/>
      </w:pPr>
      <w:r>
        <w:rPr>
          <w:rFonts w:ascii="Arial" w:cs="Arial" w:eastAsia="Arial" w:hAnsi="Arial"/>
          <w:color w:val="1A1A1A"/>
          <w:sz w:val="21"/>
          <w:szCs w:val="21"/>
        </w:rPr>
        <w:t xml:space="preserve">Develop a predictive leading indicator (Demand/Supply Ratio) for crude price movements</w:t>
      </w:r>
    </w:p>
    <w:p>
      <w:pPr>
        <w:pStyle w:val="ListParagraph"/>
        <w:numPr>
          <w:ilvl w:val="0"/>
          <w:numId w:val="2"/>
        </w:numPr>
        <w:spacing w:after="80"/>
      </w:pPr>
      <w:r>
        <w:rPr>
          <w:rFonts w:ascii="Arial" w:cs="Arial" w:eastAsia="Arial" w:hAnsi="Arial"/>
          <w:color w:val="1A1A1A"/>
          <w:sz w:val="21"/>
          <w:szCs w:val="21"/>
        </w:rPr>
        <w:t xml:space="preserve">Produce analyst-grade presentation output suitable for executive audiences</w:t>
      </w:r>
    </w:p>
    <w:p>
      <w:pPr>
        <w:pStyle w:val="Heading2"/>
        <w:spacing w:after="120" w:before="240"/>
      </w:pPr>
      <w:r>
        <w:rPr>
          <w:rFonts w:ascii="Arial" w:cs="Arial" w:eastAsia="Arial" w:hAnsi="Arial"/>
          <w:b/>
          <w:bCs/>
          <w:color w:val="1B2A4A"/>
          <w:sz w:val="26"/>
          <w:szCs w:val="26"/>
        </w:rPr>
        <w:t xml:space="preserve">1.2  Dataset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6"/>
      </w:tblGrid>
      <w:tr>
        <w:trPr>
          <w:tblHeader/>
        </w:trPr>
        <w:tc>
          <w:tcPr>
            <w:tcW w:type="dxa" w:w="3159"/>
            <w:tcBorders>
              <w:top w:val="single" w:color="DCDCDC" w:sz="4"/>
              <w:left w:val="single" w:color="DCDCDC" w:sz="4"/>
              <w:bottom w:val="single" w:color="DCDCDC" w:sz="4"/>
              <w:right w:val="single" w:color="DCDCDC" w:sz="4"/>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Attribute</w:t>
            </w:r>
          </w:p>
        </w:tc>
        <w:tc>
          <w:tcPr>
            <w:tcW w:type="dxa" w:w="5866"/>
            <w:tcBorders>
              <w:top w:val="single" w:color="DCDCDC" w:sz="4"/>
              <w:left w:val="single" w:color="DCDCDC" w:sz="4"/>
              <w:bottom w:val="single" w:color="DCDCDC" w:sz="4"/>
              <w:right w:val="single" w:color="DCDCDC" w:sz="4"/>
            </w:tcBorders>
            <w:shd w:fill="1B2A4A" w:val="clear"/>
            <w:tcMar>
              <w:top w:type="dxa" w:w="80"/>
              <w:left w:type="dxa" w:w="120"/>
              <w:bottom w:type="dxa" w:w="80"/>
              <w:right w:type="dxa" w:w="120"/>
            </w:tcMar>
          </w:tcPr>
          <w:p>
            <w:r>
              <w:rPr>
                <w:rFonts w:ascii="Arial" w:cs="Arial" w:eastAsia="Arial" w:hAnsi="Arial"/>
                <w:color w:val="FFFFFF"/>
                <w:sz w:val="19"/>
                <w:szCs w:val="19"/>
              </w:rPr>
              <w:t xml:space="preserve">Detail</w:t>
            </w:r>
          </w:p>
        </w:tc>
      </w:tr>
      <w:tr>
        <w:trPr>
          <w:tblHeader w:val="false"/>
        </w:trPr>
        <w:tc>
          <w:tcPr>
            <w:tcW w:type="dxa" w:w="3159"/>
            <w:tcBorders>
              <w:top w:val="single" w:color="DCDCDC" w:sz="4"/>
              <w:left w:val="single" w:color="DCDCDC" w:sz="4"/>
              <w:bottom w:val="single" w:color="DCDCDC" w:sz="4"/>
              <w:right w:val="single" w:color="DCDCDC" w:sz="4"/>
            </w:tcBorders>
            <w:shd w:fill="F4F4F4" w:val="clear"/>
            <w:tcMar>
              <w:top w:type="dxa" w:w="80"/>
              <w:left w:type="dxa" w:w="120"/>
              <w:bottom w:type="dxa" w:w="80"/>
              <w:right w:type="dxa" w:w="120"/>
            </w:tcMar>
          </w:tcPr>
          <w:p>
            <w:r>
              <w:rPr>
                <w:rFonts w:ascii="Arial" w:cs="Arial" w:eastAsia="Arial" w:hAnsi="Arial"/>
                <w:b w:val="false"/>
                <w:bCs w:val="false"/>
                <w:color w:val="1B2A4A"/>
                <w:sz w:val="19"/>
                <w:szCs w:val="19"/>
              </w:rPr>
              <w:t xml:space="preserve">Total rows</w:t>
            </w:r>
          </w:p>
        </w:tc>
        <w:tc>
          <w:tcPr>
            <w:tcW w:type="dxa" w:w="5866"/>
            <w:tcBorders>
              <w:top w:val="single" w:color="DCDCDC" w:sz="4"/>
              <w:left w:val="single" w:color="DCDCDC" w:sz="4"/>
              <w:bottom w:val="single" w:color="DCDCDC" w:sz="4"/>
              <w:right w:val="single" w:color="DCDCDC" w:sz="4"/>
            </w:tcBorders>
            <w:shd w:fill="F4F4F4" w:val="clear"/>
            <w:tcMar>
              <w:top w:type="dxa" w:w="80"/>
              <w:left w:type="dxa" w:w="120"/>
              <w:bottom w:type="dxa" w:w="80"/>
              <w:right w:type="dxa" w:w="120"/>
            </w:tcMar>
          </w:tcPr>
          <w:p>
            <w:r>
              <w:rPr>
                <w:rFonts w:ascii="Arial" w:cs="Arial" w:eastAsia="Arial" w:hAnsi="Arial"/>
                <w:color w:val="1A1A1A"/>
                <w:sz w:val="19"/>
                <w:szCs w:val="19"/>
              </w:rPr>
              <w:t xml:space="preserve">2,700 monthly records</w:t>
            </w:r>
          </w:p>
        </w:tc>
      </w:tr>
      <w:tr>
        <w:trPr>
          <w:tblHeader w:val="false"/>
        </w:trPr>
        <w:tc>
          <w:tcPr>
            <w:tcW w:type="dxa" w:w="3159"/>
            <w:tcBorders>
              <w:top w:val="single" w:color="DCDCDC" w:sz="4"/>
              <w:left w:val="single" w:color="DCDCDC" w:sz="4"/>
              <w:bottom w:val="single" w:color="DCDCDC" w:sz="4"/>
              <w:right w:val="single" w:color="DCDCDC" w:sz="4"/>
            </w:tcBorders>
            <w:shd w:fill="FFFFFF" w:val="clear"/>
            <w:tcMar>
              <w:top w:type="dxa" w:w="80"/>
              <w:left w:type="dxa" w:w="120"/>
              <w:bottom w:type="dxa" w:w="80"/>
              <w:right w:type="dxa" w:w="120"/>
            </w:tcMar>
          </w:tcPr>
          <w:p>
            <w:r>
              <w:rPr>
                <w:rFonts w:ascii="Arial" w:cs="Arial" w:eastAsia="Arial" w:hAnsi="Arial"/>
                <w:b w:val="false"/>
                <w:bCs w:val="false"/>
                <w:color w:val="1B2A4A"/>
                <w:sz w:val="19"/>
                <w:szCs w:val="19"/>
              </w:rPr>
              <w:t xml:space="preserve">Time range</w:t>
            </w:r>
          </w:p>
        </w:tc>
        <w:tc>
          <w:tcPr>
            <w:tcW w:type="dxa" w:w="5866"/>
            <w:tcBorders>
              <w:top w:val="single" w:color="DCDCDC" w:sz="4"/>
              <w:left w:val="single" w:color="DCDCDC" w:sz="4"/>
              <w:bottom w:val="single" w:color="DCDCDC" w:sz="4"/>
              <w:right w:val="single" w:color="DCDCDC" w:sz="4"/>
            </w:tcBorders>
            <w:shd w:fill="FFFFFF" w:val="clear"/>
            <w:tcMar>
              <w:top w:type="dxa" w:w="80"/>
              <w:left w:type="dxa" w:w="120"/>
              <w:bottom w:type="dxa" w:w="80"/>
              <w:right w:type="dxa" w:w="120"/>
            </w:tcMar>
          </w:tcPr>
          <w:p>
            <w:r>
              <w:rPr>
                <w:rFonts w:ascii="Arial" w:cs="Arial" w:eastAsia="Arial" w:hAnsi="Arial"/>
                <w:color w:val="1A1A1A"/>
                <w:sz w:val="19"/>
                <w:szCs w:val="19"/>
              </w:rPr>
              <w:t xml:space="preserve">January 1970 to December 2026</w:t>
            </w:r>
          </w:p>
        </w:tc>
      </w:tr>
      <w:tr>
        <w:trPr>
          <w:tblHeader w:val="false"/>
        </w:trPr>
        <w:tc>
          <w:tcPr>
            <w:tcW w:type="dxa" w:w="3159"/>
            <w:tcBorders>
              <w:top w:val="single" w:color="DCDCDC" w:sz="4"/>
              <w:left w:val="single" w:color="DCDCDC" w:sz="4"/>
              <w:bottom w:val="single" w:color="DCDCDC" w:sz="4"/>
              <w:right w:val="single" w:color="DCDCDC" w:sz="4"/>
            </w:tcBorders>
            <w:shd w:fill="F4F4F4" w:val="clear"/>
            <w:tcMar>
              <w:top w:type="dxa" w:w="80"/>
              <w:left w:type="dxa" w:w="120"/>
              <w:bottom w:type="dxa" w:w="80"/>
              <w:right w:type="dxa" w:w="120"/>
            </w:tcMar>
          </w:tcPr>
          <w:p>
            <w:r>
              <w:rPr>
                <w:rFonts w:ascii="Arial" w:cs="Arial" w:eastAsia="Arial" w:hAnsi="Arial"/>
                <w:b w:val="false"/>
                <w:bCs w:val="false"/>
                <w:color w:val="1B2A4A"/>
                <w:sz w:val="19"/>
                <w:szCs w:val="19"/>
              </w:rPr>
              <w:t xml:space="preserve">Original columns</w:t>
            </w:r>
          </w:p>
        </w:tc>
        <w:tc>
          <w:tcPr>
            <w:tcW w:type="dxa" w:w="5866"/>
            <w:tcBorders>
              <w:top w:val="single" w:color="DCDCDC" w:sz="4"/>
              <w:left w:val="single" w:color="DCDCDC" w:sz="4"/>
              <w:bottom w:val="single" w:color="DCDCDC" w:sz="4"/>
              <w:right w:val="single" w:color="DCDCDC" w:sz="4"/>
            </w:tcBorders>
            <w:shd w:fill="F4F4F4" w:val="clear"/>
            <w:tcMar>
              <w:top w:type="dxa" w:w="80"/>
              <w:left w:type="dxa" w:w="120"/>
              <w:bottom w:type="dxa" w:w="80"/>
              <w:right w:type="dxa" w:w="120"/>
            </w:tcMar>
          </w:tcPr>
          <w:p>
            <w:r>
              <w:rPr>
                <w:rFonts w:ascii="Arial" w:cs="Arial" w:eastAsia="Arial" w:hAnsi="Arial"/>
                <w:color w:val="1A1A1A"/>
                <w:sz w:val="19"/>
                <w:szCs w:val="19"/>
              </w:rPr>
              <w:t xml:space="preserve">21 (Date, Year, Month, Decade, Region, Crude/Petrol/Diesel prices, Demand &amp; Supply indices, Price Regime, Event Name, Event Type, Growth %, Spread, etc.)</w:t>
            </w:r>
          </w:p>
        </w:tc>
      </w:tr>
      <w:tr>
        <w:trPr>
          <w:tblHeader w:val="false"/>
        </w:trPr>
        <w:tc>
          <w:tcPr>
            <w:tcW w:type="dxa" w:w="3159"/>
            <w:tcBorders>
              <w:top w:val="single" w:color="DCDCDC" w:sz="4"/>
              <w:left w:val="single" w:color="DCDCDC" w:sz="4"/>
              <w:bottom w:val="single" w:color="DCDCDC" w:sz="4"/>
              <w:right w:val="single" w:color="DCDCDC" w:sz="4"/>
            </w:tcBorders>
            <w:shd w:fill="FFFFFF" w:val="clear"/>
            <w:tcMar>
              <w:top w:type="dxa" w:w="80"/>
              <w:left w:type="dxa" w:w="120"/>
              <w:bottom w:type="dxa" w:w="80"/>
              <w:right w:type="dxa" w:w="120"/>
            </w:tcMar>
          </w:tcPr>
          <w:p>
            <w:r>
              <w:rPr>
                <w:rFonts w:ascii="Arial" w:cs="Arial" w:eastAsia="Arial" w:hAnsi="Arial"/>
                <w:b w:val="false"/>
                <w:bCs w:val="false"/>
                <w:color w:val="1B2A4A"/>
                <w:sz w:val="19"/>
                <w:szCs w:val="19"/>
              </w:rPr>
              <w:t xml:space="preserve">Derived columns</w:t>
            </w:r>
          </w:p>
        </w:tc>
        <w:tc>
          <w:tcPr>
            <w:tcW w:type="dxa" w:w="5866"/>
            <w:tcBorders>
              <w:top w:val="single" w:color="DCDCDC" w:sz="4"/>
              <w:left w:val="single" w:color="DCDCDC" w:sz="4"/>
              <w:bottom w:val="single" w:color="DCDCDC" w:sz="4"/>
              <w:right w:val="single" w:color="DCDCDC" w:sz="4"/>
            </w:tcBorders>
            <w:shd w:fill="FFFFFF" w:val="clear"/>
            <w:tcMar>
              <w:top w:type="dxa" w:w="80"/>
              <w:left w:type="dxa" w:w="120"/>
              <w:bottom w:type="dxa" w:w="80"/>
              <w:right w:type="dxa" w:w="120"/>
            </w:tcMar>
          </w:tcPr>
          <w:p>
            <w:r>
              <w:rPr>
                <w:rFonts w:ascii="Arial" w:cs="Arial" w:eastAsia="Arial" w:hAnsi="Arial"/>
                <w:color w:val="1A1A1A"/>
                <w:sz w:val="19"/>
                <w:szCs w:val="19"/>
              </w:rPr>
              <w:t xml:space="preserve">12 engineered analytics columns (V through AG)</w:t>
            </w:r>
          </w:p>
        </w:tc>
      </w:tr>
      <w:tr>
        <w:trPr>
          <w:tblHeader w:val="false"/>
        </w:trPr>
        <w:tc>
          <w:tcPr>
            <w:tcW w:type="dxa" w:w="3159"/>
            <w:tcBorders>
              <w:top w:val="single" w:color="DCDCDC" w:sz="4"/>
              <w:left w:val="single" w:color="DCDCDC" w:sz="4"/>
              <w:bottom w:val="single" w:color="DCDCDC" w:sz="4"/>
              <w:right w:val="single" w:color="DCDCDC" w:sz="4"/>
            </w:tcBorders>
            <w:shd w:fill="F4F4F4" w:val="clear"/>
            <w:tcMar>
              <w:top w:type="dxa" w:w="80"/>
              <w:left w:type="dxa" w:w="120"/>
              <w:bottom w:type="dxa" w:w="80"/>
              <w:right w:type="dxa" w:w="120"/>
            </w:tcMar>
          </w:tcPr>
          <w:p>
            <w:r>
              <w:rPr>
                <w:rFonts w:ascii="Arial" w:cs="Arial" w:eastAsia="Arial" w:hAnsi="Arial"/>
                <w:b w:val="false"/>
                <w:bCs w:val="false"/>
                <w:color w:val="1B2A4A"/>
                <w:sz w:val="19"/>
                <w:szCs w:val="19"/>
              </w:rPr>
              <w:t xml:space="preserve">Regions</w:t>
            </w:r>
          </w:p>
        </w:tc>
        <w:tc>
          <w:tcPr>
            <w:tcW w:type="dxa" w:w="5866"/>
            <w:tcBorders>
              <w:top w:val="single" w:color="DCDCDC" w:sz="4"/>
              <w:left w:val="single" w:color="DCDCDC" w:sz="4"/>
              <w:bottom w:val="single" w:color="DCDCDC" w:sz="4"/>
              <w:right w:val="single" w:color="DCDCDC" w:sz="4"/>
            </w:tcBorders>
            <w:shd w:fill="F4F4F4" w:val="clear"/>
            <w:tcMar>
              <w:top w:type="dxa" w:w="80"/>
              <w:left w:type="dxa" w:w="120"/>
              <w:bottom w:type="dxa" w:w="80"/>
              <w:right w:type="dxa" w:w="120"/>
            </w:tcMar>
          </w:tcPr>
          <w:p>
            <w:r>
              <w:rPr>
                <w:rFonts w:ascii="Arial" w:cs="Arial" w:eastAsia="Arial" w:hAnsi="Arial"/>
                <w:color w:val="1A1A1A"/>
                <w:sz w:val="19"/>
                <w:szCs w:val="19"/>
              </w:rPr>
              <w:t xml:space="preserve">Asia, Europe, Middle East, United States</w:t>
            </w:r>
          </w:p>
        </w:tc>
      </w:tr>
      <w:tr>
        <w:trPr>
          <w:tblHeader w:val="false"/>
        </w:trPr>
        <w:tc>
          <w:tcPr>
            <w:tcW w:type="dxa" w:w="3159"/>
            <w:tcBorders>
              <w:top w:val="single" w:color="DCDCDC" w:sz="4"/>
              <w:left w:val="single" w:color="DCDCDC" w:sz="4"/>
              <w:bottom w:val="single" w:color="DCDCDC" w:sz="4"/>
              <w:right w:val="single" w:color="DCDCDC" w:sz="4"/>
            </w:tcBorders>
            <w:shd w:fill="FFFFFF" w:val="clear"/>
            <w:tcMar>
              <w:top w:type="dxa" w:w="80"/>
              <w:left w:type="dxa" w:w="120"/>
              <w:bottom w:type="dxa" w:w="80"/>
              <w:right w:type="dxa" w:w="120"/>
            </w:tcMar>
          </w:tcPr>
          <w:p>
            <w:r>
              <w:rPr>
                <w:rFonts w:ascii="Arial" w:cs="Arial" w:eastAsia="Arial" w:hAnsi="Arial"/>
                <w:b w:val="false"/>
                <w:bCs w:val="false"/>
                <w:color w:val="1B2A4A"/>
                <w:sz w:val="19"/>
                <w:szCs w:val="19"/>
              </w:rPr>
              <w:t xml:space="preserve">Price regimes</w:t>
            </w:r>
          </w:p>
        </w:tc>
        <w:tc>
          <w:tcPr>
            <w:tcW w:type="dxa" w:w="5866"/>
            <w:tcBorders>
              <w:top w:val="single" w:color="DCDCDC" w:sz="4"/>
              <w:left w:val="single" w:color="DCDCDC" w:sz="4"/>
              <w:bottom w:val="single" w:color="DCDCDC" w:sz="4"/>
              <w:right w:val="single" w:color="DCDCDC" w:sz="4"/>
            </w:tcBorders>
            <w:shd w:fill="FFFFFF" w:val="clear"/>
            <w:tcMar>
              <w:top w:type="dxa" w:w="80"/>
              <w:left w:type="dxa" w:w="120"/>
              <w:bottom w:type="dxa" w:w="80"/>
              <w:right w:type="dxa" w:w="120"/>
            </w:tcMar>
          </w:tcPr>
          <w:p>
            <w:r>
              <w:rPr>
                <w:rFonts w:ascii="Arial" w:cs="Arial" w:eastAsia="Arial" w:hAnsi="Arial"/>
                <w:color w:val="1A1A1A"/>
                <w:sz w:val="19"/>
                <w:szCs w:val="19"/>
              </w:rPr>
              <w:t xml:space="preserve">Low, Moderate, High, Very High, Crisis</w:t>
            </w:r>
          </w:p>
        </w:tc>
      </w:tr>
      <w:tr>
        <w:trPr>
          <w:tblHeader w:val="false"/>
        </w:trPr>
        <w:tc>
          <w:tcPr>
            <w:tcW w:type="dxa" w:w="3159"/>
            <w:tcBorders>
              <w:top w:val="single" w:color="DCDCDC" w:sz="4"/>
              <w:left w:val="single" w:color="DCDCDC" w:sz="4"/>
              <w:bottom w:val="single" w:color="DCDCDC" w:sz="4"/>
              <w:right w:val="single" w:color="DCDCDC" w:sz="4"/>
            </w:tcBorders>
            <w:shd w:fill="F4F4F4" w:val="clear"/>
            <w:tcMar>
              <w:top w:type="dxa" w:w="80"/>
              <w:left w:type="dxa" w:w="120"/>
              <w:bottom w:type="dxa" w:w="80"/>
              <w:right w:type="dxa" w:w="120"/>
            </w:tcMar>
          </w:tcPr>
          <w:p>
            <w:r>
              <w:rPr>
                <w:rFonts w:ascii="Arial" w:cs="Arial" w:eastAsia="Arial" w:hAnsi="Arial"/>
                <w:b w:val="false"/>
                <w:bCs w:val="false"/>
                <w:color w:val="1B2A4A"/>
                <w:sz w:val="19"/>
                <w:szCs w:val="19"/>
              </w:rPr>
              <w:t xml:space="preserve">Named events</w:t>
            </w:r>
          </w:p>
        </w:tc>
        <w:tc>
          <w:tcPr>
            <w:tcW w:type="dxa" w:w="5866"/>
            <w:tcBorders>
              <w:top w:val="single" w:color="DCDCDC" w:sz="4"/>
              <w:left w:val="single" w:color="DCDCDC" w:sz="4"/>
              <w:bottom w:val="single" w:color="DCDCDC" w:sz="4"/>
              <w:right w:val="single" w:color="DCDCDC" w:sz="4"/>
            </w:tcBorders>
            <w:shd w:fill="F4F4F4" w:val="clear"/>
            <w:tcMar>
              <w:top w:type="dxa" w:w="80"/>
              <w:left w:type="dxa" w:w="120"/>
              <w:bottom w:type="dxa" w:w="80"/>
              <w:right w:type="dxa" w:w="120"/>
            </w:tcMar>
          </w:tcPr>
          <w:p>
            <w:r>
              <w:rPr>
                <w:rFonts w:ascii="Arial" w:cs="Arial" w:eastAsia="Arial" w:hAnsi="Arial"/>
                <w:color w:val="1A1A1A"/>
                <w:sz w:val="19"/>
                <w:szCs w:val="19"/>
              </w:rPr>
              <w:t xml:space="preserve">26 geopolitical events mapped to months</w:t>
            </w:r>
          </w:p>
        </w:tc>
      </w:tr>
    </w:tbl>
    <w:p>
      <w:pPr>
        <w:spacing w:after="160"/>
      </w:pPr>
      <w:r>
        <w:t xml:space="preserve"/>
      </w:r>
    </w:p>
    <w:p>
      <w:r>
        <w:br w:type="page"/>
      </w:r>
    </w:p>
    <w:p>
      <w:pPr>
        <w:pStyle w:val="Heading1"/>
        <w:spacing w:after="160" w:before="320"/>
      </w:pPr>
      <w:r>
        <w:rPr>
          <w:rFonts w:ascii="Arial" w:cs="Arial" w:eastAsia="Arial" w:hAnsi="Arial"/>
          <w:b/>
          <w:bCs/>
          <w:color w:val="1B2A4A"/>
          <w:sz w:val="36"/>
          <w:szCs w:val="36"/>
        </w:rPr>
        <w:t xml:space="preserve">2.  Excel Dashboard Architecture</w:t>
      </w:r>
    </w:p>
    <w:p>
      <w:pPr>
        <w:spacing w:after="120"/>
      </w:pPr>
      <w:r>
        <w:rPr>
          <w:rFonts w:ascii="Arial" w:cs="Arial" w:eastAsia="Arial" w:hAnsi="Arial"/>
          <w:color w:val="1A1A1A"/>
          <w:sz w:val="21"/>
          <w:szCs w:val="21"/>
        </w:rPr>
        <w:t xml:space="preserve">The Excel workbook is structured across five visible sheets: DASHBOARD, KEY_INSIGHTS, PIVOTS, DATASET, and FORMULA_GUIDE. A sixth sheet (_ChartData) is hidden and serves as the data feed for all dashboard charts. The DASHBOARD sheet functions as the single-screen analytical interface, designed to update dynamically when pivot slicers are applied.</w:t>
      </w:r>
    </w:p>
    <w:p>
      <w:pPr>
        <w:pStyle w:val="Heading2"/>
        <w:spacing w:after="120" w:before="240"/>
      </w:pPr>
      <w:r>
        <w:rPr>
          <w:rFonts w:ascii="Arial" w:cs="Arial" w:eastAsia="Arial" w:hAnsi="Arial"/>
          <w:b/>
          <w:bCs/>
          <w:color w:val="1B2A4A"/>
          <w:sz w:val="26"/>
          <w:szCs w:val="26"/>
        </w:rPr>
        <w:t xml:space="preserve">2.1  KPI Card Strip</w:t>
      </w:r>
    </w:p>
    <w:p>
      <w:pPr>
        <w:spacing w:after="120"/>
      </w:pPr>
      <w:r>
        <w:rPr>
          <w:rFonts w:ascii="Arial" w:cs="Arial" w:eastAsia="Arial" w:hAnsi="Arial"/>
          <w:color w:val="1A1A1A"/>
          <w:sz w:val="21"/>
          <w:szCs w:val="21"/>
        </w:rPr>
        <w:t xml:space="preserve">Seven KPI metric cards are positioned at the top of the dashboard. Each card displays a live-computed value fed by GETPIVOTDATA formulas, a descriptive label, and a delta indicator where applicable. The first card (Current Avg Crude) includes a year-over-year delta arrow that changes colour based on direction.</w:t>
      </w:r>
    </w:p>
    <w:p>
      <w:pPr>
        <w:spacing w:after="60" w:before="1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105150"/>
                    </a:xfrm>
                    <a:prstGeom prst="rect">
                      <a:avLst/>
                    </a:prstGeom>
                  </pic:spPr>
                </pic:pic>
              </a:graphicData>
            </a:graphic>
          </wp:inline>
        </w:drawing>
      </w:r>
    </w:p>
    <w:p>
      <w:pPr>
        <w:spacing w:after="160" w:before="60"/>
        <w:jc w:val="center"/>
      </w:pPr>
      <w:r>
        <w:rPr>
          <w:rFonts w:ascii="Arial" w:cs="Arial" w:eastAsia="Arial" w:hAnsi="Arial"/>
          <w:i/>
          <w:iCs/>
          <w:color w:val="555555"/>
          <w:sz w:val="17"/>
          <w:szCs w:val="17"/>
        </w:rPr>
        <w:t xml:space="preserve">Figure 1 — Dashboard cover slide showing the four scope dimensions and persistent KPI header</w:t>
      </w:r>
    </w:p>
    <w:p>
      <w:pPr>
        <w:pStyle w:val="Heading2"/>
        <w:spacing w:after="120" w:before="240"/>
      </w:pPr>
      <w:r>
        <w:rPr>
          <w:rFonts w:ascii="Arial" w:cs="Arial" w:eastAsia="Arial" w:hAnsi="Arial"/>
          <w:b/>
          <w:bCs/>
          <w:color w:val="1B2A4A"/>
          <w:sz w:val="26"/>
          <w:szCs w:val="26"/>
        </w:rPr>
        <w:t xml:space="preserve">2.2  Chart Zone Layout</w:t>
      </w:r>
    </w:p>
    <w:p>
      <w:pPr>
        <w:spacing w:after="120"/>
      </w:pPr>
      <w:r>
        <w:rPr>
          <w:rFonts w:ascii="Arial" w:cs="Arial" w:eastAsia="Arial" w:hAnsi="Arial"/>
          <w:color w:val="1A1A1A"/>
          <w:sz w:val="21"/>
          <w:szCs w:val="21"/>
        </w:rPr>
        <w:t xml:space="preserve">The dashboard is divided into three chart rows, each containing one wide left-panel chart and one narrower right-panel chart. This layout creates a visual hierarchy that leads the reader from macro (56-year timeline) to structural (decade comparison) to comparative (regional and regime analyses).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2527"/>
        <w:gridCol w:w="2527"/>
        <w:gridCol w:w="2888"/>
      </w:tblGrid>
      <w:tr>
        <w:trPr>
          <w:tblHeader/>
        </w:trPr>
        <w:tc>
          <w:tcPr>
            <w:tcW w:type="dxa" w:w="1083"/>
            <w:tcBorders>
              <w:top w:val="single" w:color="DCDCDC" w:sz="4"/>
              <w:left w:val="single" w:color="DCDCDC" w:sz="4"/>
              <w:bottom w:val="single" w:color="DCDCDC" w:sz="4"/>
              <w:right w:val="single" w:color="DCDCDC" w:sz="4"/>
            </w:tcBorders>
            <w:shd w:fill="1B2A4A" w:val="clear"/>
            <w:tcMar>
              <w:top w:type="dxa" w:w="70"/>
              <w:left w:type="dxa" w:w="100"/>
              <w:bottom w:type="dxa" w:w="70"/>
              <w:right w:type="dxa" w:w="100"/>
            </w:tcMar>
          </w:tcPr>
          <w:p>
            <w:r>
              <w:rPr>
                <w:rFonts w:ascii="Arial" w:cs="Arial" w:eastAsia="Arial" w:hAnsi="Arial"/>
                <w:b/>
                <w:bCs/>
                <w:color w:val="FFFFFF"/>
                <w:sz w:val="17"/>
                <w:szCs w:val="17"/>
              </w:rPr>
              <w:t xml:space="preserve">Zone</w:t>
            </w:r>
          </w:p>
        </w:tc>
        <w:tc>
          <w:tcPr>
            <w:tcW w:type="dxa" w:w="2527"/>
            <w:tcBorders>
              <w:top w:val="single" w:color="DCDCDC" w:sz="4"/>
              <w:left w:val="single" w:color="DCDCDC" w:sz="4"/>
              <w:bottom w:val="single" w:color="DCDCDC" w:sz="4"/>
              <w:right w:val="single" w:color="DCDCDC" w:sz="4"/>
            </w:tcBorders>
            <w:shd w:fill="1B2A4A" w:val="clear"/>
            <w:tcMar>
              <w:top w:type="dxa" w:w="70"/>
              <w:left w:type="dxa" w:w="100"/>
              <w:bottom w:type="dxa" w:w="70"/>
              <w:right w:type="dxa" w:w="100"/>
            </w:tcMar>
          </w:tcPr>
          <w:p>
            <w:r>
              <w:rPr>
                <w:rFonts w:ascii="Arial" w:cs="Arial" w:eastAsia="Arial" w:hAnsi="Arial"/>
                <w:b/>
                <w:bCs/>
                <w:color w:val="FFFFFF"/>
                <w:sz w:val="17"/>
                <w:szCs w:val="17"/>
              </w:rPr>
              <w:t xml:space="preserve">Left Chart</w:t>
            </w:r>
          </w:p>
        </w:tc>
        <w:tc>
          <w:tcPr>
            <w:tcW w:type="dxa" w:w="2527"/>
            <w:tcBorders>
              <w:top w:val="single" w:color="DCDCDC" w:sz="4"/>
              <w:left w:val="single" w:color="DCDCDC" w:sz="4"/>
              <w:bottom w:val="single" w:color="DCDCDC" w:sz="4"/>
              <w:right w:val="single" w:color="DCDCDC" w:sz="4"/>
            </w:tcBorders>
            <w:shd w:fill="1B2A4A" w:val="clear"/>
            <w:tcMar>
              <w:top w:type="dxa" w:w="70"/>
              <w:left w:type="dxa" w:w="100"/>
              <w:bottom w:type="dxa" w:w="70"/>
              <w:right w:type="dxa" w:w="100"/>
            </w:tcMar>
          </w:tcPr>
          <w:p>
            <w:r>
              <w:rPr>
                <w:rFonts w:ascii="Arial" w:cs="Arial" w:eastAsia="Arial" w:hAnsi="Arial"/>
                <w:b/>
                <w:bCs/>
                <w:color w:val="FFFFFF"/>
                <w:sz w:val="17"/>
                <w:szCs w:val="17"/>
              </w:rPr>
              <w:t xml:space="preserve">Right Chart</w:t>
            </w:r>
          </w:p>
        </w:tc>
        <w:tc>
          <w:tcPr>
            <w:tcW w:type="dxa" w:w="2888"/>
            <w:tcBorders>
              <w:top w:val="single" w:color="DCDCDC" w:sz="4"/>
              <w:left w:val="single" w:color="DCDCDC" w:sz="4"/>
              <w:bottom w:val="single" w:color="DCDCDC" w:sz="4"/>
              <w:right w:val="single" w:color="DCDCDC" w:sz="4"/>
            </w:tcBorders>
            <w:shd w:fill="1B2A4A" w:val="clear"/>
            <w:tcMar>
              <w:top w:type="dxa" w:w="70"/>
              <w:left w:type="dxa" w:w="100"/>
              <w:bottom w:type="dxa" w:w="70"/>
              <w:right w:type="dxa" w:w="100"/>
            </w:tcMar>
          </w:tcPr>
          <w:p>
            <w:r>
              <w:rPr>
                <w:rFonts w:ascii="Arial" w:cs="Arial" w:eastAsia="Arial" w:hAnsi="Arial"/>
                <w:b/>
                <w:bCs/>
                <w:color w:val="FFFFFF"/>
                <w:sz w:val="17"/>
                <w:szCs w:val="17"/>
              </w:rPr>
              <w:t xml:space="preserve">Key Insight</w:t>
            </w:r>
          </w:p>
        </w:tc>
      </w:tr>
      <w:tr>
        <w:trPr>
          <w:tblHeader w:val="false"/>
        </w:trPr>
        <w:tc>
          <w:tcPr>
            <w:tcW w:type="dxa" w:w="1083"/>
            <w:tcBorders>
              <w:top w:val="single" w:color="DCDCDC" w:sz="4"/>
              <w:left w:val="single" w:color="DCDCDC" w:sz="4"/>
              <w:bottom w:val="single" w:color="DCDCDC" w:sz="4"/>
              <w:right w:val="single" w:color="DCDCDC" w:sz="4"/>
            </w:tcBorders>
            <w:shd w:fill="F4F4F4" w:val="clear"/>
            <w:tcMar>
              <w:top w:type="dxa" w:w="70"/>
              <w:left w:type="dxa" w:w="100"/>
              <w:bottom w:type="dxa" w:w="70"/>
              <w:right w:type="dxa" w:w="100"/>
            </w:tcMar>
          </w:tcPr>
          <w:p>
            <w:r>
              <w:rPr>
                <w:rFonts w:ascii="Arial" w:cs="Arial" w:eastAsia="Arial" w:hAnsi="Arial"/>
                <w:b w:val="false"/>
                <w:bCs w:val="false"/>
                <w:color w:val="1A1A1A"/>
                <w:sz w:val="17"/>
                <w:szCs w:val="17"/>
              </w:rPr>
              <w:t xml:space="preserve">Row 1</w:t>
            </w:r>
          </w:p>
        </w:tc>
        <w:tc>
          <w:tcPr>
            <w:tcW w:type="dxa" w:w="2527"/>
            <w:tcBorders>
              <w:top w:val="single" w:color="DCDCDC" w:sz="4"/>
              <w:left w:val="single" w:color="DCDCDC" w:sz="4"/>
              <w:bottom w:val="single" w:color="DCDCDC" w:sz="4"/>
              <w:right w:val="single" w:color="DCDCDC" w:sz="4"/>
            </w:tcBorders>
            <w:shd w:fill="F4F4F4" w:val="clear"/>
            <w:tcMar>
              <w:top w:type="dxa" w:w="70"/>
              <w:left w:type="dxa" w:w="100"/>
              <w:bottom w:type="dxa" w:w="70"/>
              <w:right w:type="dxa" w:w="100"/>
            </w:tcMar>
          </w:tcPr>
          <w:p>
            <w:r>
              <w:rPr>
                <w:rFonts w:ascii="Arial" w:cs="Arial" w:eastAsia="Arial" w:hAnsi="Arial"/>
                <w:b w:val="false"/>
                <w:bCs w:val="false"/>
                <w:color w:val="1A1A1A"/>
                <w:sz w:val="17"/>
                <w:szCs w:val="17"/>
              </w:rPr>
              <w:t xml:space="preserve">56-Year Crude Timeline + Volatility</w:t>
            </w:r>
          </w:p>
        </w:tc>
        <w:tc>
          <w:tcPr>
            <w:tcW w:type="dxa" w:w="2527"/>
            <w:tcBorders>
              <w:top w:val="single" w:color="DCDCDC" w:sz="4"/>
              <w:left w:val="single" w:color="DCDCDC" w:sz="4"/>
              <w:bottom w:val="single" w:color="DCDCDC" w:sz="4"/>
              <w:right w:val="single" w:color="DCDCDC" w:sz="4"/>
            </w:tcBorders>
            <w:shd w:fill="F4F4F4" w:val="clear"/>
            <w:tcMar>
              <w:top w:type="dxa" w:w="70"/>
              <w:left w:type="dxa" w:w="100"/>
              <w:bottom w:type="dxa" w:w="70"/>
              <w:right w:type="dxa" w:w="100"/>
            </w:tcMar>
          </w:tcPr>
          <w:p>
            <w:r>
              <w:rPr>
                <w:rFonts w:ascii="Arial" w:cs="Arial" w:eastAsia="Arial" w:hAnsi="Arial"/>
                <w:b w:val="false"/>
                <w:bCs w:val="false"/>
                <w:color w:val="1A1A1A"/>
                <w:sz w:val="17"/>
                <w:szCs w:val="17"/>
              </w:rPr>
              <w:t xml:space="preserve">Decade Average Comparison (Bar)</w:t>
            </w:r>
          </w:p>
        </w:tc>
        <w:tc>
          <w:tcPr>
            <w:tcW w:type="dxa" w:w="2888"/>
            <w:tcBorders>
              <w:top w:val="single" w:color="DCDCDC" w:sz="4"/>
              <w:left w:val="single" w:color="DCDCDC" w:sz="4"/>
              <w:bottom w:val="single" w:color="DCDCDC" w:sz="4"/>
              <w:right w:val="single" w:color="DCDCDC" w:sz="4"/>
            </w:tcBorders>
            <w:shd w:fill="F4F4F4" w:val="clear"/>
            <w:tcMar>
              <w:top w:type="dxa" w:w="70"/>
              <w:left w:type="dxa" w:w="100"/>
              <w:bottom w:type="dxa" w:w="70"/>
              <w:right w:type="dxa" w:w="100"/>
            </w:tcMar>
          </w:tcPr>
          <w:p>
            <w:r>
              <w:rPr>
                <w:rFonts w:ascii="Arial" w:cs="Arial" w:eastAsia="Arial" w:hAnsi="Arial"/>
                <w:b w:val="false"/>
                <w:bCs w:val="false"/>
                <w:color w:val="1A1A1A"/>
                <w:sz w:val="17"/>
                <w:szCs w:val="17"/>
              </w:rPr>
              <w:t xml:space="preserve">2,252% nominal growth; 2008 peak $143.18</w:t>
            </w:r>
          </w:p>
        </w:tc>
      </w:tr>
      <w:tr>
        <w:trPr>
          <w:tblHeader w:val="false"/>
        </w:trPr>
        <w:tc>
          <w:tcPr>
            <w:tcW w:type="dxa" w:w="1083"/>
            <w:tcBorders>
              <w:top w:val="single" w:color="DCDCDC" w:sz="4"/>
              <w:left w:val="single" w:color="DCDCDC" w:sz="4"/>
              <w:bottom w:val="single" w:color="DCDCDC" w:sz="4"/>
              <w:right w:val="single" w:color="DCDCDC" w:sz="4"/>
            </w:tcBorders>
            <w:shd w:fill="FFFFFF" w:val="clear"/>
            <w:tcMar>
              <w:top w:type="dxa" w:w="70"/>
              <w:left w:type="dxa" w:w="100"/>
              <w:bottom w:type="dxa" w:w="70"/>
              <w:right w:type="dxa" w:w="100"/>
            </w:tcMar>
          </w:tcPr>
          <w:p>
            <w:r>
              <w:rPr>
                <w:rFonts w:ascii="Arial" w:cs="Arial" w:eastAsia="Arial" w:hAnsi="Arial"/>
                <w:b w:val="false"/>
                <w:bCs w:val="false"/>
                <w:color w:val="1A1A1A"/>
                <w:sz w:val="17"/>
                <w:szCs w:val="17"/>
              </w:rPr>
              <w:t xml:space="preserve">Row 2</w:t>
            </w:r>
          </w:p>
        </w:tc>
        <w:tc>
          <w:tcPr>
            <w:tcW w:type="dxa" w:w="2527"/>
            <w:tcBorders>
              <w:top w:val="single" w:color="DCDCDC" w:sz="4"/>
              <w:left w:val="single" w:color="DCDCDC" w:sz="4"/>
              <w:bottom w:val="single" w:color="DCDCDC" w:sz="4"/>
              <w:right w:val="single" w:color="DCDCDC" w:sz="4"/>
            </w:tcBorders>
            <w:shd w:fill="FFFFFF" w:val="clear"/>
            <w:tcMar>
              <w:top w:type="dxa" w:w="70"/>
              <w:left w:type="dxa" w:w="100"/>
              <w:bottom w:type="dxa" w:w="70"/>
              <w:right w:type="dxa" w:w="100"/>
            </w:tcMar>
          </w:tcPr>
          <w:p>
            <w:r>
              <w:rPr>
                <w:rFonts w:ascii="Arial" w:cs="Arial" w:eastAsia="Arial" w:hAnsi="Arial"/>
                <w:b w:val="false"/>
                <w:bCs w:val="false"/>
                <w:color w:val="1A1A1A"/>
                <w:sz w:val="17"/>
                <w:szCs w:val="17"/>
              </w:rPr>
              <w:t xml:space="preserve">Regional Price Divergence (4-line)</w:t>
            </w:r>
          </w:p>
        </w:tc>
        <w:tc>
          <w:tcPr>
            <w:tcW w:type="dxa" w:w="2527"/>
            <w:tcBorders>
              <w:top w:val="single" w:color="DCDCDC" w:sz="4"/>
              <w:left w:val="single" w:color="DCDCDC" w:sz="4"/>
              <w:bottom w:val="single" w:color="DCDCDC" w:sz="4"/>
              <w:right w:val="single" w:color="DCDCDC" w:sz="4"/>
            </w:tcBorders>
            <w:shd w:fill="FFFFFF" w:val="clear"/>
            <w:tcMar>
              <w:top w:type="dxa" w:w="70"/>
              <w:left w:type="dxa" w:w="100"/>
              <w:bottom w:type="dxa" w:w="70"/>
              <w:right w:type="dxa" w:w="100"/>
            </w:tcMar>
          </w:tcPr>
          <w:p>
            <w:r>
              <w:rPr>
                <w:rFonts w:ascii="Arial" w:cs="Arial" w:eastAsia="Arial" w:hAnsi="Arial"/>
                <w:b w:val="false"/>
                <w:bCs w:val="false"/>
                <w:color w:val="1A1A1A"/>
                <w:sz w:val="17"/>
                <w:szCs w:val="17"/>
              </w:rPr>
              <w:t xml:space="preserve">Price Regime Distribution (Stacked %)</w:t>
            </w:r>
          </w:p>
        </w:tc>
        <w:tc>
          <w:tcPr>
            <w:tcW w:type="dxa" w:w="2888"/>
            <w:tcBorders>
              <w:top w:val="single" w:color="DCDCDC" w:sz="4"/>
              <w:left w:val="single" w:color="DCDCDC" w:sz="4"/>
              <w:bottom w:val="single" w:color="DCDCDC" w:sz="4"/>
              <w:right w:val="single" w:color="DCDCDC" w:sz="4"/>
            </w:tcBorders>
            <w:shd w:fill="FFFFFF" w:val="clear"/>
            <w:tcMar>
              <w:top w:type="dxa" w:w="70"/>
              <w:left w:type="dxa" w:w="100"/>
              <w:bottom w:type="dxa" w:w="70"/>
              <w:right w:type="dxa" w:w="100"/>
            </w:tcMar>
          </w:tcPr>
          <w:p>
            <w:r>
              <w:rPr>
                <w:rFonts w:ascii="Arial" w:cs="Arial" w:eastAsia="Arial" w:hAnsi="Arial"/>
                <w:b w:val="false"/>
                <w:bCs w:val="false"/>
                <w:color w:val="1A1A1A"/>
                <w:sz w:val="17"/>
                <w:szCs w:val="17"/>
              </w:rPr>
              <w:t xml:space="preserve">$0.953/litre Europe-MiddleEast gap</w:t>
            </w:r>
          </w:p>
        </w:tc>
      </w:tr>
      <w:tr>
        <w:trPr>
          <w:tblHeader w:val="false"/>
        </w:trPr>
        <w:tc>
          <w:tcPr>
            <w:tcW w:type="dxa" w:w="1083"/>
            <w:tcBorders>
              <w:top w:val="single" w:color="DCDCDC" w:sz="4"/>
              <w:left w:val="single" w:color="DCDCDC" w:sz="4"/>
              <w:bottom w:val="single" w:color="DCDCDC" w:sz="4"/>
              <w:right w:val="single" w:color="DCDCDC" w:sz="4"/>
            </w:tcBorders>
            <w:shd w:fill="F4F4F4" w:val="clear"/>
            <w:tcMar>
              <w:top w:type="dxa" w:w="70"/>
              <w:left w:type="dxa" w:w="100"/>
              <w:bottom w:type="dxa" w:w="70"/>
              <w:right w:type="dxa" w:w="100"/>
            </w:tcMar>
          </w:tcPr>
          <w:p>
            <w:r>
              <w:rPr>
                <w:rFonts w:ascii="Arial" w:cs="Arial" w:eastAsia="Arial" w:hAnsi="Arial"/>
                <w:b w:val="false"/>
                <w:bCs w:val="false"/>
                <w:color w:val="1A1A1A"/>
                <w:sz w:val="17"/>
                <w:szCs w:val="17"/>
              </w:rPr>
              <w:t xml:space="preserve">Row 3</w:t>
            </w:r>
          </w:p>
        </w:tc>
        <w:tc>
          <w:tcPr>
            <w:tcW w:type="dxa" w:w="2527"/>
            <w:tcBorders>
              <w:top w:val="single" w:color="DCDCDC" w:sz="4"/>
              <w:left w:val="single" w:color="DCDCDC" w:sz="4"/>
              <w:bottom w:val="single" w:color="DCDCDC" w:sz="4"/>
              <w:right w:val="single" w:color="DCDCDC" w:sz="4"/>
            </w:tcBorders>
            <w:shd w:fill="F4F4F4" w:val="clear"/>
            <w:tcMar>
              <w:top w:type="dxa" w:w="70"/>
              <w:left w:type="dxa" w:w="100"/>
              <w:bottom w:type="dxa" w:w="70"/>
              <w:right w:type="dxa" w:w="100"/>
            </w:tcMar>
          </w:tcPr>
          <w:p>
            <w:r>
              <w:rPr>
                <w:rFonts w:ascii="Arial" w:cs="Arial" w:eastAsia="Arial" w:hAnsi="Arial"/>
                <w:b w:val="false"/>
                <w:bCs w:val="false"/>
                <w:color w:val="1A1A1A"/>
                <w:sz w:val="17"/>
                <w:szCs w:val="17"/>
              </w:rPr>
              <w:t xml:space="preserve">Geopolitical Event Impact (H-Bar)</w:t>
            </w:r>
          </w:p>
        </w:tc>
        <w:tc>
          <w:tcPr>
            <w:tcW w:type="dxa" w:w="2527"/>
            <w:tcBorders>
              <w:top w:val="single" w:color="DCDCDC" w:sz="4"/>
              <w:left w:val="single" w:color="DCDCDC" w:sz="4"/>
              <w:bottom w:val="single" w:color="DCDCDC" w:sz="4"/>
              <w:right w:val="single" w:color="DCDCDC" w:sz="4"/>
            </w:tcBorders>
            <w:shd w:fill="F4F4F4" w:val="clear"/>
            <w:tcMar>
              <w:top w:type="dxa" w:w="70"/>
              <w:left w:type="dxa" w:w="100"/>
              <w:bottom w:type="dxa" w:w="70"/>
              <w:right w:type="dxa" w:w="100"/>
            </w:tcMar>
          </w:tcPr>
          <w:p>
            <w:r>
              <w:rPr>
                <w:rFonts w:ascii="Arial" w:cs="Arial" w:eastAsia="Arial" w:hAnsi="Arial"/>
                <w:b w:val="false"/>
                <w:bCs w:val="false"/>
                <w:color w:val="1A1A1A"/>
                <w:sz w:val="17"/>
                <w:szCs w:val="17"/>
              </w:rPr>
              <w:t xml:space="preserve">Demand-Supply Leading Indicator</w:t>
            </w:r>
          </w:p>
        </w:tc>
        <w:tc>
          <w:tcPr>
            <w:tcW w:type="dxa" w:w="2888"/>
            <w:tcBorders>
              <w:top w:val="single" w:color="DCDCDC" w:sz="4"/>
              <w:left w:val="single" w:color="DCDCDC" w:sz="4"/>
              <w:bottom w:val="single" w:color="DCDCDC" w:sz="4"/>
              <w:right w:val="single" w:color="DCDCDC" w:sz="4"/>
            </w:tcBorders>
            <w:shd w:fill="F4F4F4" w:val="clear"/>
            <w:tcMar>
              <w:top w:type="dxa" w:w="70"/>
              <w:left w:type="dxa" w:w="100"/>
              <w:bottom w:type="dxa" w:w="70"/>
              <w:right w:type="dxa" w:w="100"/>
            </w:tcMar>
          </w:tcPr>
          <w:p>
            <w:r>
              <w:rPr>
                <w:rFonts w:ascii="Arial" w:cs="Arial" w:eastAsia="Arial" w:hAnsi="Arial"/>
                <w:b w:val="false"/>
                <w:bCs w:val="false"/>
                <w:color w:val="1A1A1A"/>
                <w:sz w:val="17"/>
                <w:szCs w:val="17"/>
              </w:rPr>
              <w:t xml:space="preserve">Economic crises outprice wars on average</w:t>
            </w:r>
          </w:p>
        </w:tc>
      </w:tr>
    </w:tbl>
    <w:p>
      <w:pPr>
        <w:spacing w:after="160"/>
      </w:pPr>
      <w:r>
        <w:t xml:space="preserve"/>
      </w:r>
    </w:p>
    <w:p>
      <w:r>
        <w:br w:type="page"/>
      </w:r>
    </w:p>
    <w:p>
      <w:pPr>
        <w:pStyle w:val="Heading1"/>
        <w:spacing w:after="160" w:before="320"/>
      </w:pPr>
      <w:r>
        <w:rPr>
          <w:rFonts w:ascii="Arial" w:cs="Arial" w:eastAsia="Arial" w:hAnsi="Arial"/>
          <w:b/>
          <w:bCs/>
          <w:color w:val="1B2A4A"/>
          <w:sz w:val="36"/>
          <w:szCs w:val="36"/>
        </w:rPr>
        <w:t xml:space="preserve">3.  Key Analytical Findings</w:t>
      </w:r>
    </w:p>
    <w:p>
      <w:pPr>
        <w:spacing w:after="120"/>
      </w:pPr>
      <w:r>
        <w:rPr>
          <w:rFonts w:ascii="Arial" w:cs="Arial" w:eastAsia="Arial" w:hAnsi="Arial"/>
          <w:color w:val="1A1A1A"/>
          <w:sz w:val="21"/>
          <w:szCs w:val="21"/>
        </w:rPr>
        <w:t xml:space="preserve">The following findings are derived directly from the dataset and surfaced through the dashboard, pivot tables, and presentation. Each finding is supported by a specific quantitative data point extracted from the analysis.</w:t>
      </w:r>
    </w:p>
    <w:p>
      <w:pPr>
        <w:pStyle w:val="Heading2"/>
        <w:spacing w:after="120" w:before="240"/>
      </w:pPr>
      <w:r>
        <w:rPr>
          <w:rFonts w:ascii="Arial" w:cs="Arial" w:eastAsia="Arial" w:hAnsi="Arial"/>
          <w:b/>
          <w:bCs/>
          <w:color w:val="1B2A4A"/>
          <w:sz w:val="26"/>
          <w:szCs w:val="26"/>
        </w:rPr>
        <w:t xml:space="preserve">3.1  56-Year Price Timeline</w:t>
      </w:r>
    </w:p>
    <w:p>
      <w:pPr>
        <w:spacing w:after="60" w:before="1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105150"/>
                    </a:xfrm>
                    <a:prstGeom prst="rect">
                      <a:avLst/>
                    </a:prstGeom>
                  </pic:spPr>
                </pic:pic>
              </a:graphicData>
            </a:graphic>
          </wp:inline>
        </w:drawing>
      </w:r>
    </w:p>
    <w:p>
      <w:pPr>
        <w:spacing w:after="160" w:before="60"/>
        <w:jc w:val="center"/>
      </w:pPr>
      <w:r>
        <w:rPr>
          <w:rFonts w:ascii="Arial" w:cs="Arial" w:eastAsia="Arial" w:hAnsi="Arial"/>
          <w:i/>
          <w:iCs/>
          <w:color w:val="555555"/>
          <w:sz w:val="17"/>
          <w:szCs w:val="17"/>
        </w:rPr>
        <w:t xml:space="preserve">Figure 2 — 56-year crude oil price timeline (orange) with volatility standard deviation overlay (red)</w:t>
      </w:r>
    </w:p>
    <w:p>
      <w:pPr>
        <w:spacing w:after="120"/>
      </w:pPr>
      <w:r>
        <w:rPr>
          <w:rFonts w:ascii="Arial" w:cs="Arial" w:eastAsia="Arial" w:hAnsi="Arial"/>
          <w:color w:val="1A1A1A"/>
          <w:sz w:val="21"/>
          <w:szCs w:val="21"/>
        </w:rPr>
        <w:t xml:space="preserve">The full-history timeline reveals three distinct structural eras. The pre-1980 period was characterised by sub-$20 pricing with minimal volatility (σ = 0.04 in 1970). The 1980–1999 period represented a transitional phase with moderate prices ($15–$35) and occasional spikes. The post-2000 era constitutes a permanently elevated pricing regime with sustained high prices and recurring volatility clusters.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5F8A" w:sz="12"/>
              <w:left w:val="single" w:color="2C5F8A" w:sz="4"/>
              <w:bottom w:val="single" w:color="2C5F8A" w:sz="4"/>
              <w:right w:val="single" w:color="2C5F8A" w:sz="4"/>
            </w:tcBorders>
            <w:shd w:fill="EEF4FA" w:val="clear"/>
            <w:tcMar>
              <w:top w:type="dxa" w:w="120"/>
              <w:left w:type="dxa" w:w="160"/>
              <w:bottom w:type="dxa" w:w="120"/>
              <w:right w:type="dxa" w:w="160"/>
            </w:tcMar>
          </w:tcPr>
          <w:p>
            <w:r>
              <w:rPr>
                <w:rFonts w:ascii="Arial" w:cs="Arial" w:eastAsia="Arial" w:hAnsi="Arial"/>
                <w:b/>
                <w:bCs/>
                <w:color w:val="1B2A4A"/>
                <w:sz w:val="20"/>
                <w:szCs w:val="20"/>
              </w:rPr>
              <w:t xml:space="preserve">Key insight:  </w:t>
            </w:r>
            <w:r>
              <w:rPr>
                <w:rFonts w:ascii="Arial" w:cs="Arial" w:eastAsia="Arial" w:hAnsi="Arial"/>
                <w:color w:val="1A1A1A"/>
                <w:sz w:val="20"/>
                <w:szCs w:val="20"/>
              </w:rPr>
              <w:t xml:space="preserve">Crude oil rose 2,252% from the 1970 base to the 2008 peak, achieving a 47x nominal return. This structurally outperformed most conventional asset classes over the same period.</w:t>
            </w:r>
          </w:p>
        </w:tc>
      </w:tr>
    </w:tbl>
    <w:p>
      <w:pPr>
        <w:spacing w:after="120"/>
      </w:pPr>
      <w:r>
        <w:t xml:space="preserve"/>
      </w:r>
    </w:p>
    <w:p>
      <w:pPr>
        <w:pStyle w:val="Heading2"/>
        <w:spacing w:after="120" w:before="240"/>
      </w:pPr>
      <w:r>
        <w:rPr>
          <w:rFonts w:ascii="Arial" w:cs="Arial" w:eastAsia="Arial" w:hAnsi="Arial"/>
          <w:b/>
          <w:bCs/>
          <w:color w:val="1B2A4A"/>
          <w:sz w:val="26"/>
          <w:szCs w:val="26"/>
        </w:rPr>
        <w:t xml:space="preserve">3.2  Regime Shift — Permanent Migration to High Volatility</w:t>
      </w:r>
    </w:p>
    <w:p>
      <w:pPr>
        <w:spacing w:after="60" w:before="1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105150"/>
                    </a:xfrm>
                    <a:prstGeom prst="rect">
                      <a:avLst/>
                    </a:prstGeom>
                  </pic:spPr>
                </pic:pic>
              </a:graphicData>
            </a:graphic>
          </wp:inline>
        </w:drawing>
      </w:r>
    </w:p>
    <w:p>
      <w:pPr>
        <w:spacing w:after="160" w:before="60"/>
        <w:jc w:val="center"/>
      </w:pPr>
      <w:r>
        <w:rPr>
          <w:rFonts w:ascii="Arial" w:cs="Arial" w:eastAsia="Arial" w:hAnsi="Arial"/>
          <w:i/>
          <w:iCs/>
          <w:color w:val="555555"/>
          <w:sz w:val="17"/>
          <w:szCs w:val="17"/>
        </w:rPr>
        <w:t xml:space="preserve">Figure 3 — Regime shift Sankey diagram showing the permanent migration from Low to High/Crisis price regimes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2888"/>
        <w:gridCol w:w="2978"/>
      </w:tblGrid>
      <w:tr>
        <w:trPr>
          <w:tblHeader/>
        </w:trPr>
        <w:tc>
          <w:tcPr>
            <w:tcW w:type="dxa" w:w="3159"/>
            <w:tcBorders>
              <w:top w:val="single" w:color="DCDCDC" w:sz="4"/>
              <w:left w:val="single" w:color="DCDCDC" w:sz="4"/>
              <w:bottom w:val="single" w:color="DCDCDC" w:sz="4"/>
              <w:right w:val="single" w:color="DCDCDC" w:sz="4"/>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Decade</w:t>
            </w:r>
          </w:p>
        </w:tc>
        <w:tc>
          <w:tcPr>
            <w:tcW w:type="dxa" w:w="2888"/>
            <w:tcBorders>
              <w:top w:val="single" w:color="DCDCDC" w:sz="4"/>
              <w:left w:val="single" w:color="DCDCDC" w:sz="4"/>
              <w:bottom w:val="single" w:color="DCDCDC" w:sz="4"/>
              <w:right w:val="single" w:color="DCDCDC" w:sz="4"/>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Dominant Regime</w:t>
            </w:r>
          </w:p>
        </w:tc>
        <w:tc>
          <w:tcPr>
            <w:tcW w:type="dxa" w:w="2978"/>
            <w:tcBorders>
              <w:top w:val="single" w:color="DCDCDC" w:sz="4"/>
              <w:left w:val="single" w:color="DCDCDC" w:sz="4"/>
              <w:bottom w:val="single" w:color="DCDCDC" w:sz="4"/>
              <w:right w:val="single" w:color="DCDCDC" w:sz="4"/>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Avg Price / Volatility σ</w:t>
            </w:r>
          </w:p>
        </w:tc>
      </w:tr>
      <w:tr>
        <w:tc>
          <w:tcPr>
            <w:tcW w:type="dxa" w:w="3159"/>
            <w:tcBorders>
              <w:top w:val="single" w:color="DCDCDC" w:sz="4"/>
              <w:left w:val="single" w:color="DCDCDC" w:sz="4"/>
              <w:bottom w:val="single" w:color="DCDCDC" w:sz="4"/>
              <w:right w:val="single" w:color="DCDCDC" w:sz="4"/>
            </w:tcBorders>
            <w:shd w:fill="FFFFFF" w:val="clear"/>
            <w:tcMar>
              <w:top w:type="dxa" w:w="60"/>
              <w:left w:type="dxa" w:w="120"/>
              <w:bottom w:type="dxa" w:w="60"/>
              <w:right w:type="dxa" w:w="120"/>
            </w:tcMar>
          </w:tcPr>
          <w:p>
            <w:pPr>
              <w:jc w:val="left"/>
            </w:pPr>
            <w:r>
              <w:rPr>
                <w:rFonts w:ascii="Arial" w:cs="Arial" w:eastAsia="Arial" w:hAnsi="Arial"/>
                <w:b w:val="false"/>
                <w:bCs w:val="false"/>
                <w:color w:val="1A1A1A"/>
                <w:sz w:val="19"/>
                <w:szCs w:val="19"/>
              </w:rPr>
              <w:t xml:space="preserve">1970s</w:t>
            </w:r>
          </w:p>
        </w:tc>
        <w:tc>
          <w:tcPr>
            <w:tcW w:type="dxa" w:w="2888"/>
            <w:tcBorders>
              <w:top w:val="single" w:color="DCDCDC" w:sz="4"/>
              <w:left w:val="single" w:color="DCDCDC" w:sz="4"/>
              <w:bottom w:val="single" w:color="DCDCDC" w:sz="4"/>
              <w:right w:val="single" w:color="DCDCD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1A1A1A"/>
                <w:sz w:val="19"/>
                <w:szCs w:val="19"/>
              </w:rPr>
              <w:t xml:space="preserve">Low (85% of months)</w:t>
            </w:r>
          </w:p>
        </w:tc>
        <w:tc>
          <w:tcPr>
            <w:tcW w:type="dxa" w:w="2978"/>
            <w:tcBorders>
              <w:top w:val="single" w:color="DCDCDC" w:sz="4"/>
              <w:left w:val="single" w:color="DCDCDC" w:sz="4"/>
              <w:bottom w:val="single" w:color="DCDCDC" w:sz="4"/>
              <w:right w:val="single" w:color="DCDCD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1A1A1A"/>
                <w:sz w:val="19"/>
                <w:szCs w:val="19"/>
              </w:rPr>
              <w:t xml:space="preserve">$12.44 / σ $10.19</w:t>
            </w:r>
          </w:p>
        </w:tc>
      </w:tr>
      <w:tr>
        <w:tc>
          <w:tcPr>
            <w:tcW w:type="dxa" w:w="3159"/>
            <w:tcBorders>
              <w:top w:val="single" w:color="DCDCDC" w:sz="4"/>
              <w:left w:val="single" w:color="DCDCDC" w:sz="4"/>
              <w:bottom w:val="single" w:color="DCDCDC" w:sz="4"/>
              <w:right w:val="single" w:color="DCDCDC" w:sz="4"/>
            </w:tcBorders>
            <w:shd w:fill="F4F4F4" w:val="clear"/>
            <w:tcMar>
              <w:top w:type="dxa" w:w="60"/>
              <w:left w:type="dxa" w:w="120"/>
              <w:bottom w:type="dxa" w:w="60"/>
              <w:right w:type="dxa" w:w="120"/>
            </w:tcMar>
          </w:tcPr>
          <w:p>
            <w:pPr>
              <w:jc w:val="left"/>
            </w:pPr>
            <w:r>
              <w:rPr>
                <w:rFonts w:ascii="Arial" w:cs="Arial" w:eastAsia="Arial" w:hAnsi="Arial"/>
                <w:b w:val="false"/>
                <w:bCs w:val="false"/>
                <w:color w:val="1A1A1A"/>
                <w:sz w:val="19"/>
                <w:szCs w:val="19"/>
              </w:rPr>
              <w:t xml:space="preserve">1980s</w:t>
            </w:r>
          </w:p>
        </w:tc>
        <w:tc>
          <w:tcPr>
            <w:tcW w:type="dxa" w:w="2888"/>
            <w:tcBorders>
              <w:top w:val="single" w:color="DCDCDC" w:sz="4"/>
              <w:left w:val="single" w:color="DCDCDC" w:sz="4"/>
              <w:bottom w:val="single" w:color="DCDCDC" w:sz="4"/>
              <w:right w:val="single" w:color="DCDCDC" w:sz="4"/>
            </w:tcBorders>
            <w:shd w:fill="F4F4F4" w:val="clear"/>
            <w:tcMar>
              <w:top w:type="dxa" w:w="60"/>
              <w:left w:type="dxa" w:w="120"/>
              <w:bottom w:type="dxa" w:w="60"/>
              <w:right w:type="dxa" w:w="120"/>
            </w:tcMar>
          </w:tcPr>
          <w:p>
            <w:pPr>
              <w:jc w:val="center"/>
            </w:pPr>
            <w:r>
              <w:rPr>
                <w:rFonts w:ascii="Arial" w:cs="Arial" w:eastAsia="Arial" w:hAnsi="Arial"/>
                <w:b w:val="false"/>
                <w:bCs w:val="false"/>
                <w:color w:val="1A1A1A"/>
                <w:sz w:val="19"/>
                <w:szCs w:val="19"/>
              </w:rPr>
              <w:t xml:space="preserve">Low/Moderate</w:t>
            </w:r>
          </w:p>
        </w:tc>
        <w:tc>
          <w:tcPr>
            <w:tcW w:type="dxa" w:w="2978"/>
            <w:tcBorders>
              <w:top w:val="single" w:color="DCDCDC" w:sz="4"/>
              <w:left w:val="single" w:color="DCDCDC" w:sz="4"/>
              <w:bottom w:val="single" w:color="DCDCDC" w:sz="4"/>
              <w:right w:val="single" w:color="DCDCDC" w:sz="4"/>
            </w:tcBorders>
            <w:shd w:fill="F4F4F4" w:val="clear"/>
            <w:tcMar>
              <w:top w:type="dxa" w:w="60"/>
              <w:left w:type="dxa" w:w="120"/>
              <w:bottom w:type="dxa" w:w="60"/>
              <w:right w:type="dxa" w:w="120"/>
            </w:tcMar>
          </w:tcPr>
          <w:p>
            <w:pPr>
              <w:jc w:val="center"/>
            </w:pPr>
            <w:r>
              <w:rPr>
                <w:rFonts w:ascii="Arial" w:cs="Arial" w:eastAsia="Arial" w:hAnsi="Arial"/>
                <w:b w:val="false"/>
                <w:bCs w:val="false"/>
                <w:color w:val="1A1A1A"/>
                <w:sz w:val="19"/>
                <w:szCs w:val="19"/>
              </w:rPr>
              <w:t xml:space="preserve">$25.00 / σ $12.61</w:t>
            </w:r>
          </w:p>
        </w:tc>
      </w:tr>
      <w:tr>
        <w:tc>
          <w:tcPr>
            <w:tcW w:type="dxa" w:w="3159"/>
            <w:tcBorders>
              <w:top w:val="single" w:color="DCDCDC" w:sz="4"/>
              <w:left w:val="single" w:color="DCDCDC" w:sz="4"/>
              <w:bottom w:val="single" w:color="DCDCDC" w:sz="4"/>
              <w:right w:val="single" w:color="DCDCDC" w:sz="4"/>
            </w:tcBorders>
            <w:shd w:fill="FFFFFF" w:val="clear"/>
            <w:tcMar>
              <w:top w:type="dxa" w:w="60"/>
              <w:left w:type="dxa" w:w="120"/>
              <w:bottom w:type="dxa" w:w="60"/>
              <w:right w:type="dxa" w:w="120"/>
            </w:tcMar>
          </w:tcPr>
          <w:p>
            <w:pPr>
              <w:jc w:val="left"/>
            </w:pPr>
            <w:r>
              <w:rPr>
                <w:rFonts w:ascii="Arial" w:cs="Arial" w:eastAsia="Arial" w:hAnsi="Arial"/>
                <w:b w:val="false"/>
                <w:bCs w:val="false"/>
                <w:color w:val="1A1A1A"/>
                <w:sz w:val="19"/>
                <w:szCs w:val="19"/>
              </w:rPr>
              <w:t xml:space="preserve">1990s</w:t>
            </w:r>
          </w:p>
        </w:tc>
        <w:tc>
          <w:tcPr>
            <w:tcW w:type="dxa" w:w="2888"/>
            <w:tcBorders>
              <w:top w:val="single" w:color="DCDCDC" w:sz="4"/>
              <w:left w:val="single" w:color="DCDCDC" w:sz="4"/>
              <w:bottom w:val="single" w:color="DCDCDC" w:sz="4"/>
              <w:right w:val="single" w:color="DCDCD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1A1A1A"/>
                <w:sz w:val="19"/>
                <w:szCs w:val="19"/>
              </w:rPr>
              <w:t xml:space="preserve">Low (81% of months)</w:t>
            </w:r>
          </w:p>
        </w:tc>
        <w:tc>
          <w:tcPr>
            <w:tcW w:type="dxa" w:w="2978"/>
            <w:tcBorders>
              <w:top w:val="single" w:color="DCDCDC" w:sz="4"/>
              <w:left w:val="single" w:color="DCDCDC" w:sz="4"/>
              <w:bottom w:val="single" w:color="DCDCDC" w:sz="4"/>
              <w:right w:val="single" w:color="DCDCD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1A1A1A"/>
                <w:sz w:val="19"/>
                <w:szCs w:val="19"/>
              </w:rPr>
              <w:t xml:space="preserve">$20.23 / σ $4.69</w:t>
            </w:r>
          </w:p>
        </w:tc>
      </w:tr>
      <w:tr>
        <w:tc>
          <w:tcPr>
            <w:tcW w:type="dxa" w:w="3159"/>
            <w:tcBorders>
              <w:top w:val="single" w:color="DCDCDC" w:sz="4"/>
              <w:left w:val="single" w:color="DCDCDC" w:sz="4"/>
              <w:bottom w:val="single" w:color="DCDCDC" w:sz="4"/>
              <w:right w:val="single" w:color="DCDCDC" w:sz="4"/>
            </w:tcBorders>
            <w:shd w:fill="F4F4F4" w:val="clear"/>
            <w:tcMar>
              <w:top w:type="dxa" w:w="60"/>
              <w:left w:type="dxa" w:w="120"/>
              <w:bottom w:type="dxa" w:w="60"/>
              <w:right w:type="dxa" w:w="120"/>
            </w:tcMar>
          </w:tcPr>
          <w:p>
            <w:pPr>
              <w:jc w:val="left"/>
            </w:pPr>
            <w:r>
              <w:rPr>
                <w:rFonts w:ascii="Arial" w:cs="Arial" w:eastAsia="Arial" w:hAnsi="Arial"/>
                <w:b w:val="false"/>
                <w:bCs w:val="false"/>
                <w:color w:val="1A1A1A"/>
                <w:sz w:val="19"/>
                <w:szCs w:val="19"/>
              </w:rPr>
              <w:t xml:space="preserve">2000s</w:t>
            </w:r>
          </w:p>
        </w:tc>
        <w:tc>
          <w:tcPr>
            <w:tcW w:type="dxa" w:w="2888"/>
            <w:tcBorders>
              <w:top w:val="single" w:color="DCDCDC" w:sz="4"/>
              <w:left w:val="single" w:color="DCDCDC" w:sz="4"/>
              <w:bottom w:val="single" w:color="DCDCDC" w:sz="4"/>
              <w:right w:val="single" w:color="DCDCDC" w:sz="4"/>
            </w:tcBorders>
            <w:shd w:fill="F4F4F4" w:val="clear"/>
            <w:tcMar>
              <w:top w:type="dxa" w:w="60"/>
              <w:left w:type="dxa" w:w="120"/>
              <w:bottom w:type="dxa" w:w="60"/>
              <w:right w:type="dxa" w:w="120"/>
            </w:tcMar>
          </w:tcPr>
          <w:p>
            <w:pPr>
              <w:jc w:val="center"/>
            </w:pPr>
            <w:r>
              <w:rPr>
                <w:rFonts w:ascii="Arial" w:cs="Arial" w:eastAsia="Arial" w:hAnsi="Arial"/>
                <w:b w:val="false"/>
                <w:bCs w:val="false"/>
                <w:color w:val="1A1A1A"/>
                <w:sz w:val="19"/>
                <w:szCs w:val="19"/>
              </w:rPr>
              <w:t xml:space="preserve">High/Very High/Crisis</w:t>
            </w:r>
          </w:p>
        </w:tc>
        <w:tc>
          <w:tcPr>
            <w:tcW w:type="dxa" w:w="2978"/>
            <w:tcBorders>
              <w:top w:val="single" w:color="DCDCDC" w:sz="4"/>
              <w:left w:val="single" w:color="DCDCDC" w:sz="4"/>
              <w:bottom w:val="single" w:color="DCDCDC" w:sz="4"/>
              <w:right w:val="single" w:color="DCDCDC" w:sz="4"/>
            </w:tcBorders>
            <w:shd w:fill="F4F4F4" w:val="clear"/>
            <w:tcMar>
              <w:top w:type="dxa" w:w="60"/>
              <w:left w:type="dxa" w:w="120"/>
              <w:bottom w:type="dxa" w:w="60"/>
              <w:right w:type="dxa" w:w="120"/>
            </w:tcMar>
          </w:tcPr>
          <w:p>
            <w:pPr>
              <w:jc w:val="center"/>
            </w:pPr>
            <w:r>
              <w:rPr>
                <w:rFonts w:ascii="Arial" w:cs="Arial" w:eastAsia="Arial" w:hAnsi="Arial"/>
                <w:b w:val="false"/>
                <w:bCs w:val="false"/>
                <w:color w:val="1A1A1A"/>
                <w:sz w:val="19"/>
                <w:szCs w:val="19"/>
              </w:rPr>
              <w:t xml:space="preserve">$63.33 / σ $38.44</w:t>
            </w:r>
          </w:p>
        </w:tc>
      </w:tr>
      <w:tr>
        <w:tc>
          <w:tcPr>
            <w:tcW w:type="dxa" w:w="3159"/>
            <w:tcBorders>
              <w:top w:val="single" w:color="DCDCDC" w:sz="4"/>
              <w:left w:val="single" w:color="DCDCDC" w:sz="4"/>
              <w:bottom w:val="single" w:color="DCDCDC" w:sz="4"/>
              <w:right w:val="single" w:color="DCDCDC" w:sz="4"/>
            </w:tcBorders>
            <w:shd w:fill="FFFFFF" w:val="clear"/>
            <w:tcMar>
              <w:top w:type="dxa" w:w="60"/>
              <w:left w:type="dxa" w:w="120"/>
              <w:bottom w:type="dxa" w:w="60"/>
              <w:right w:type="dxa" w:w="120"/>
            </w:tcMar>
          </w:tcPr>
          <w:p>
            <w:pPr>
              <w:jc w:val="left"/>
            </w:pPr>
            <w:r>
              <w:rPr>
                <w:rFonts w:ascii="Arial" w:cs="Arial" w:eastAsia="Arial" w:hAnsi="Arial"/>
                <w:b w:val="false"/>
                <w:bCs w:val="false"/>
                <w:color w:val="1A1A1A"/>
                <w:sz w:val="19"/>
                <w:szCs w:val="19"/>
              </w:rPr>
              <w:t xml:space="preserve">2010s</w:t>
            </w:r>
          </w:p>
        </w:tc>
        <w:tc>
          <w:tcPr>
            <w:tcW w:type="dxa" w:w="2888"/>
            <w:tcBorders>
              <w:top w:val="single" w:color="DCDCDC" w:sz="4"/>
              <w:left w:val="single" w:color="DCDCDC" w:sz="4"/>
              <w:bottom w:val="single" w:color="DCDCDC" w:sz="4"/>
              <w:right w:val="single" w:color="DCDCD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1A1A1A"/>
                <w:sz w:val="19"/>
                <w:szCs w:val="19"/>
              </w:rPr>
              <w:t xml:space="preserve">High/Very High</w:t>
            </w:r>
          </w:p>
        </w:tc>
        <w:tc>
          <w:tcPr>
            <w:tcW w:type="dxa" w:w="2978"/>
            <w:tcBorders>
              <w:top w:val="single" w:color="DCDCDC" w:sz="4"/>
              <w:left w:val="single" w:color="DCDCDC" w:sz="4"/>
              <w:bottom w:val="single" w:color="DCDCDC" w:sz="4"/>
              <w:right w:val="single" w:color="DCDCD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1A1A1A"/>
                <w:sz w:val="19"/>
                <w:szCs w:val="19"/>
              </w:rPr>
              <w:t xml:space="preserve">$73.39 / σ $24.11</w:t>
            </w:r>
          </w:p>
        </w:tc>
      </w:tr>
      <w:tr>
        <w:tc>
          <w:tcPr>
            <w:tcW w:type="dxa" w:w="3159"/>
            <w:tcBorders>
              <w:top w:val="single" w:color="DCDCDC" w:sz="4"/>
              <w:left w:val="single" w:color="DCDCDC" w:sz="4"/>
              <w:bottom w:val="single" w:color="DCDCDC" w:sz="4"/>
              <w:right w:val="single" w:color="DCDCDC" w:sz="4"/>
            </w:tcBorders>
            <w:shd w:fill="F4F4F4" w:val="clear"/>
            <w:tcMar>
              <w:top w:type="dxa" w:w="60"/>
              <w:left w:type="dxa" w:w="120"/>
              <w:bottom w:type="dxa" w:w="60"/>
              <w:right w:type="dxa" w:w="120"/>
            </w:tcMar>
          </w:tcPr>
          <w:p>
            <w:pPr>
              <w:jc w:val="left"/>
            </w:pPr>
            <w:r>
              <w:rPr>
                <w:rFonts w:ascii="Arial" w:cs="Arial" w:eastAsia="Arial" w:hAnsi="Arial"/>
                <w:b w:val="false"/>
                <w:bCs w:val="false"/>
                <w:color w:val="1A1A1A"/>
                <w:sz w:val="19"/>
                <w:szCs w:val="19"/>
              </w:rPr>
              <w:t xml:space="preserve">2020s</w:t>
            </w:r>
          </w:p>
        </w:tc>
        <w:tc>
          <w:tcPr>
            <w:tcW w:type="dxa" w:w="2888"/>
            <w:tcBorders>
              <w:top w:val="single" w:color="DCDCDC" w:sz="4"/>
              <w:left w:val="single" w:color="DCDCDC" w:sz="4"/>
              <w:bottom w:val="single" w:color="DCDCDC" w:sz="4"/>
              <w:right w:val="single" w:color="DCDCDC" w:sz="4"/>
            </w:tcBorders>
            <w:shd w:fill="F4F4F4" w:val="clear"/>
            <w:tcMar>
              <w:top w:type="dxa" w:w="60"/>
              <w:left w:type="dxa" w:w="120"/>
              <w:bottom w:type="dxa" w:w="60"/>
              <w:right w:type="dxa" w:w="120"/>
            </w:tcMar>
          </w:tcPr>
          <w:p>
            <w:pPr>
              <w:jc w:val="center"/>
            </w:pPr>
            <w:r>
              <w:rPr>
                <w:rFonts w:ascii="Arial" w:cs="Arial" w:eastAsia="Arial" w:hAnsi="Arial"/>
                <w:b w:val="false"/>
                <w:bCs w:val="false"/>
                <w:color w:val="1A1A1A"/>
                <w:sz w:val="19"/>
                <w:szCs w:val="19"/>
              </w:rPr>
              <w:t xml:space="preserve">High/Very High/Crisis</w:t>
            </w:r>
          </w:p>
        </w:tc>
        <w:tc>
          <w:tcPr>
            <w:tcW w:type="dxa" w:w="2978"/>
            <w:tcBorders>
              <w:top w:val="single" w:color="DCDCDC" w:sz="4"/>
              <w:left w:val="single" w:color="DCDCDC" w:sz="4"/>
              <w:bottom w:val="single" w:color="DCDCDC" w:sz="4"/>
              <w:right w:val="single" w:color="DCDCDC" w:sz="4"/>
            </w:tcBorders>
            <w:shd w:fill="F4F4F4" w:val="clear"/>
            <w:tcMar>
              <w:top w:type="dxa" w:w="60"/>
              <w:left w:type="dxa" w:w="120"/>
              <w:bottom w:type="dxa" w:w="60"/>
              <w:right w:type="dxa" w:w="120"/>
            </w:tcMar>
          </w:tcPr>
          <w:p>
            <w:pPr>
              <w:jc w:val="center"/>
            </w:pPr>
            <w:r>
              <w:rPr>
                <w:rFonts w:ascii="Arial" w:cs="Arial" w:eastAsia="Arial" w:hAnsi="Arial"/>
                <w:b w:val="false"/>
                <w:bCs w:val="false"/>
                <w:color w:val="1A1A1A"/>
                <w:sz w:val="19"/>
                <w:szCs w:val="19"/>
              </w:rPr>
              <w:t xml:space="preserve">$69.69 / σ $28.49</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5F8A" w:sz="12"/>
              <w:left w:val="single" w:color="2C5F8A" w:sz="4"/>
              <w:bottom w:val="single" w:color="2C5F8A" w:sz="4"/>
              <w:right w:val="single" w:color="2C5F8A" w:sz="4"/>
            </w:tcBorders>
            <w:shd w:fill="EEF4FA" w:val="clear"/>
            <w:tcMar>
              <w:top w:type="dxa" w:w="120"/>
              <w:left w:type="dxa" w:w="160"/>
              <w:bottom w:type="dxa" w:w="120"/>
              <w:right w:type="dxa" w:w="160"/>
            </w:tcMar>
          </w:tcPr>
          <w:p>
            <w:r>
              <w:rPr>
                <w:rFonts w:ascii="Arial" w:cs="Arial" w:eastAsia="Arial" w:hAnsi="Arial"/>
                <w:b/>
                <w:bCs/>
                <w:color w:val="1B2A4A"/>
                <w:sz w:val="20"/>
                <w:szCs w:val="20"/>
              </w:rPr>
              <w:t xml:space="preserve">Key insight:  </w:t>
            </w:r>
            <w:r>
              <w:rPr>
                <w:rFonts w:ascii="Arial" w:cs="Arial" w:eastAsia="Arial" w:hAnsi="Arial"/>
                <w:color w:val="1A1A1A"/>
                <w:sz w:val="20"/>
                <w:szCs w:val="20"/>
              </w:rPr>
              <w:t xml:space="preserve">Price uncertainty is structural, not cyclical. Modern risk models cannot rely on 20th-century baselines and must use fat-tail distributions.</w:t>
            </w:r>
          </w:p>
        </w:tc>
      </w:tr>
    </w:tbl>
    <w:p>
      <w:pPr>
        <w:spacing w:after="160"/>
      </w:pPr>
      <w:r>
        <w:t xml:space="preserve"/>
      </w:r>
    </w:p>
    <w:p>
      <w:r>
        <w:br w:type="page"/>
      </w:r>
    </w:p>
    <w:p>
      <w:pPr>
        <w:pStyle w:val="Heading2"/>
        <w:spacing w:after="120" w:before="240"/>
      </w:pPr>
      <w:r>
        <w:rPr>
          <w:rFonts w:ascii="Arial" w:cs="Arial" w:eastAsia="Arial" w:hAnsi="Arial"/>
          <w:b/>
          <w:bCs/>
          <w:color w:val="1B2A4A"/>
          <w:sz w:val="26"/>
          <w:szCs w:val="26"/>
        </w:rPr>
        <w:t xml:space="preserve">3.3  Regional Price Divergence</w:t>
      </w:r>
    </w:p>
    <w:p>
      <w:pPr>
        <w:spacing w:after="60" w:before="1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105150"/>
                    </a:xfrm>
                    <a:prstGeom prst="rect">
                      <a:avLst/>
                    </a:prstGeom>
                  </pic:spPr>
                </pic:pic>
              </a:graphicData>
            </a:graphic>
          </wp:inline>
        </w:drawing>
      </w:r>
    </w:p>
    <w:p>
      <w:pPr>
        <w:spacing w:after="160" w:before="60"/>
        <w:jc w:val="center"/>
      </w:pPr>
      <w:r>
        <w:rPr>
          <w:rFonts w:ascii="Arial" w:cs="Arial" w:eastAsia="Arial" w:hAnsi="Arial"/>
          <w:i/>
          <w:iCs/>
          <w:color w:val="555555"/>
          <w:sz w:val="17"/>
          <w:szCs w:val="17"/>
        </w:rPr>
        <w:t xml:space="preserve">Figure 4 — Regional divergence matrix showing 2026 petrol prices and primary pricing drivers by region</w:t>
      </w:r>
    </w:p>
    <w:p>
      <w:pPr>
        <w:spacing w:after="120"/>
      </w:pPr>
      <w:r>
        <w:rPr>
          <w:rFonts w:ascii="Arial" w:cs="Arial" w:eastAsia="Arial" w:hAnsi="Arial"/>
          <w:color w:val="1A1A1A"/>
          <w:sz w:val="21"/>
          <w:szCs w:val="21"/>
        </w:rPr>
        <w:t xml:space="preserve">The four regions tracked in this dataset exhibit fundamentally different pricing dynamics, entirely attributable to government policy rather than differences in underlying crude costs. All four regions share the same global crude price as a raw material input, yet consumer petrol prices diverge by nearly $1.00/litre.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2888"/>
        <w:gridCol w:w="2978"/>
      </w:tblGrid>
      <w:tr>
        <w:trPr>
          <w:tblHeader/>
        </w:trPr>
        <w:tc>
          <w:tcPr>
            <w:tcW w:type="dxa" w:w="3159"/>
            <w:tcBorders>
              <w:top w:val="single" w:color="DCDCDC" w:sz="4"/>
              <w:left w:val="single" w:color="DCDCDC" w:sz="4"/>
              <w:bottom w:val="single" w:color="DCDCDC" w:sz="4"/>
              <w:right w:val="single" w:color="DCDCDC" w:sz="4"/>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Region</w:t>
            </w:r>
          </w:p>
        </w:tc>
        <w:tc>
          <w:tcPr>
            <w:tcW w:type="dxa" w:w="2888"/>
            <w:tcBorders>
              <w:top w:val="single" w:color="DCDCDC" w:sz="4"/>
              <w:left w:val="single" w:color="DCDCDC" w:sz="4"/>
              <w:bottom w:val="single" w:color="DCDCDC" w:sz="4"/>
              <w:right w:val="single" w:color="DCDCDC" w:sz="4"/>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2026 Avg Price</w:t>
            </w:r>
          </w:p>
        </w:tc>
        <w:tc>
          <w:tcPr>
            <w:tcW w:type="dxa" w:w="2978"/>
            <w:tcBorders>
              <w:top w:val="single" w:color="DCDCDC" w:sz="4"/>
              <w:left w:val="single" w:color="DCDCDC" w:sz="4"/>
              <w:bottom w:val="single" w:color="DCDCDC" w:sz="4"/>
              <w:right w:val="single" w:color="DCDCDC" w:sz="4"/>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All-Time Max / Primary Driver</w:t>
            </w:r>
          </w:p>
        </w:tc>
      </w:tr>
      <w:tr>
        <w:tc>
          <w:tcPr>
            <w:tcW w:type="dxa" w:w="3159"/>
            <w:tcBorders>
              <w:top w:val="single" w:color="DCDCDC" w:sz="4"/>
              <w:left w:val="single" w:color="DCDCDC" w:sz="4"/>
              <w:bottom w:val="single" w:color="DCDCDC" w:sz="4"/>
              <w:right w:val="single" w:color="DCDCDC" w:sz="4"/>
            </w:tcBorders>
            <w:shd w:fill="FFFFFF" w:val="clear"/>
            <w:tcMar>
              <w:top w:type="dxa" w:w="60"/>
              <w:left w:type="dxa" w:w="120"/>
              <w:bottom w:type="dxa" w:w="60"/>
              <w:right w:type="dxa" w:w="120"/>
            </w:tcMar>
          </w:tcPr>
          <w:p>
            <w:pPr>
              <w:jc w:val="left"/>
            </w:pPr>
            <w:r>
              <w:rPr>
                <w:rFonts w:ascii="Arial" w:cs="Arial" w:eastAsia="Arial" w:hAnsi="Arial"/>
                <w:b w:val="false"/>
                <w:bCs w:val="false"/>
                <w:color w:val="1A1A1A"/>
                <w:sz w:val="19"/>
                <w:szCs w:val="19"/>
              </w:rPr>
              <w:t xml:space="preserve">Europe</w:t>
            </w:r>
          </w:p>
        </w:tc>
        <w:tc>
          <w:tcPr>
            <w:tcW w:type="dxa" w:w="2888"/>
            <w:tcBorders>
              <w:top w:val="single" w:color="DCDCDC" w:sz="4"/>
              <w:left w:val="single" w:color="DCDCDC" w:sz="4"/>
              <w:bottom w:val="single" w:color="DCDCDC" w:sz="4"/>
              <w:right w:val="single" w:color="DCDCDC" w:sz="4"/>
            </w:tcBorders>
            <w:shd w:fill="FFFFFF" w:val="clear"/>
            <w:tcMar>
              <w:top w:type="dxa" w:w="60"/>
              <w:left w:type="dxa" w:w="120"/>
              <w:bottom w:type="dxa" w:w="60"/>
              <w:right w:type="dxa" w:w="120"/>
            </w:tcMar>
          </w:tcPr>
          <w:p>
            <w:pPr>
              <w:jc w:val="center"/>
            </w:pPr>
            <w:r>
              <w:rPr>
                <w:rFonts w:ascii="Arial" w:cs="Arial" w:eastAsia="Arial" w:hAnsi="Arial"/>
                <w:b/>
                <w:bCs/>
                <w:color w:val="1A1A1A"/>
                <w:sz w:val="19"/>
                <w:szCs w:val="19"/>
              </w:rPr>
              <w:t xml:space="preserve">$1.47/litre</w:t>
            </w:r>
          </w:p>
        </w:tc>
        <w:tc>
          <w:tcPr>
            <w:tcW w:type="dxa" w:w="2978"/>
            <w:tcBorders>
              <w:top w:val="single" w:color="DCDCDC" w:sz="4"/>
              <w:left w:val="single" w:color="DCDCDC" w:sz="4"/>
              <w:bottom w:val="single" w:color="DCDCDC" w:sz="4"/>
              <w:right w:val="single" w:color="DCDCD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1A1A1A"/>
                <w:sz w:val="19"/>
                <w:szCs w:val="19"/>
              </w:rPr>
              <w:t xml:space="preserve">$2.44 — Highest tax burden</w:t>
            </w:r>
          </w:p>
        </w:tc>
      </w:tr>
      <w:tr>
        <w:tc>
          <w:tcPr>
            <w:tcW w:type="dxa" w:w="3159"/>
            <w:tcBorders>
              <w:top w:val="single" w:color="DCDCDC" w:sz="4"/>
              <w:left w:val="single" w:color="DCDCDC" w:sz="4"/>
              <w:bottom w:val="single" w:color="DCDCDC" w:sz="4"/>
              <w:right w:val="single" w:color="DCDCDC" w:sz="4"/>
            </w:tcBorders>
            <w:shd w:fill="F4F4F4" w:val="clear"/>
            <w:tcMar>
              <w:top w:type="dxa" w:w="60"/>
              <w:left w:type="dxa" w:w="120"/>
              <w:bottom w:type="dxa" w:w="60"/>
              <w:right w:type="dxa" w:w="120"/>
            </w:tcMar>
          </w:tcPr>
          <w:p>
            <w:pPr>
              <w:jc w:val="left"/>
            </w:pPr>
            <w:r>
              <w:rPr>
                <w:rFonts w:ascii="Arial" w:cs="Arial" w:eastAsia="Arial" w:hAnsi="Arial"/>
                <w:b w:val="false"/>
                <w:bCs w:val="false"/>
                <w:color w:val="1A1A1A"/>
                <w:sz w:val="19"/>
                <w:szCs w:val="19"/>
              </w:rPr>
              <w:t xml:space="preserve">Asia</w:t>
            </w:r>
          </w:p>
        </w:tc>
        <w:tc>
          <w:tcPr>
            <w:tcW w:type="dxa" w:w="2888"/>
            <w:tcBorders>
              <w:top w:val="single" w:color="DCDCDC" w:sz="4"/>
              <w:left w:val="single" w:color="DCDCDC" w:sz="4"/>
              <w:bottom w:val="single" w:color="DCDCDC" w:sz="4"/>
              <w:right w:val="single" w:color="DCDCDC" w:sz="4"/>
            </w:tcBorders>
            <w:shd w:fill="F4F4F4" w:val="clear"/>
            <w:tcMar>
              <w:top w:type="dxa" w:w="60"/>
              <w:left w:type="dxa" w:w="120"/>
              <w:bottom w:type="dxa" w:w="60"/>
              <w:right w:type="dxa" w:w="120"/>
            </w:tcMar>
          </w:tcPr>
          <w:p>
            <w:pPr>
              <w:jc w:val="center"/>
            </w:pPr>
            <w:r>
              <w:rPr>
                <w:rFonts w:ascii="Arial" w:cs="Arial" w:eastAsia="Arial" w:hAnsi="Arial"/>
                <w:b/>
                <w:bCs/>
                <w:color w:val="1A1A1A"/>
                <w:sz w:val="19"/>
                <w:szCs w:val="19"/>
              </w:rPr>
              <w:t xml:space="preserve">$1.00/litre</w:t>
            </w:r>
          </w:p>
        </w:tc>
        <w:tc>
          <w:tcPr>
            <w:tcW w:type="dxa" w:w="2978"/>
            <w:tcBorders>
              <w:top w:val="single" w:color="DCDCDC" w:sz="4"/>
              <w:left w:val="single" w:color="DCDCDC" w:sz="4"/>
              <w:bottom w:val="single" w:color="DCDCDC" w:sz="4"/>
              <w:right w:val="single" w:color="DCDCDC" w:sz="4"/>
            </w:tcBorders>
            <w:shd w:fill="F4F4F4" w:val="clear"/>
            <w:tcMar>
              <w:top w:type="dxa" w:w="60"/>
              <w:left w:type="dxa" w:w="120"/>
              <w:bottom w:type="dxa" w:w="60"/>
              <w:right w:type="dxa" w:w="120"/>
            </w:tcMar>
          </w:tcPr>
          <w:p>
            <w:pPr>
              <w:jc w:val="center"/>
            </w:pPr>
            <w:r>
              <w:rPr>
                <w:rFonts w:ascii="Arial" w:cs="Arial" w:eastAsia="Arial" w:hAnsi="Arial"/>
                <w:b w:val="false"/>
                <w:bCs w:val="false"/>
                <w:color w:val="1A1A1A"/>
                <w:sz w:val="19"/>
                <w:szCs w:val="19"/>
              </w:rPr>
              <w:t xml:space="preserve">$1.83 — Tax-moderate, demand-driven</w:t>
            </w:r>
          </w:p>
        </w:tc>
      </w:tr>
      <w:tr>
        <w:tc>
          <w:tcPr>
            <w:tcW w:type="dxa" w:w="3159"/>
            <w:tcBorders>
              <w:top w:val="single" w:color="DCDCDC" w:sz="4"/>
              <w:left w:val="single" w:color="DCDCDC" w:sz="4"/>
              <w:bottom w:val="single" w:color="DCDCDC" w:sz="4"/>
              <w:right w:val="single" w:color="DCDCDC" w:sz="4"/>
            </w:tcBorders>
            <w:shd w:fill="FFFFFF" w:val="clear"/>
            <w:tcMar>
              <w:top w:type="dxa" w:w="60"/>
              <w:left w:type="dxa" w:w="120"/>
              <w:bottom w:type="dxa" w:w="60"/>
              <w:right w:type="dxa" w:w="120"/>
            </w:tcMar>
          </w:tcPr>
          <w:p>
            <w:pPr>
              <w:jc w:val="left"/>
            </w:pPr>
            <w:r>
              <w:rPr>
                <w:rFonts w:ascii="Arial" w:cs="Arial" w:eastAsia="Arial" w:hAnsi="Arial"/>
                <w:b w:val="false"/>
                <w:bCs w:val="false"/>
                <w:color w:val="1A1A1A"/>
                <w:sz w:val="19"/>
                <w:szCs w:val="19"/>
              </w:rPr>
              <w:t xml:space="preserve">United States</w:t>
            </w:r>
          </w:p>
        </w:tc>
        <w:tc>
          <w:tcPr>
            <w:tcW w:type="dxa" w:w="2888"/>
            <w:tcBorders>
              <w:top w:val="single" w:color="DCDCDC" w:sz="4"/>
              <w:left w:val="single" w:color="DCDCDC" w:sz="4"/>
              <w:bottom w:val="single" w:color="DCDCDC" w:sz="4"/>
              <w:right w:val="single" w:color="DCDCDC" w:sz="4"/>
            </w:tcBorders>
            <w:shd w:fill="FFFFFF" w:val="clear"/>
            <w:tcMar>
              <w:top w:type="dxa" w:w="60"/>
              <w:left w:type="dxa" w:w="120"/>
              <w:bottom w:type="dxa" w:w="60"/>
              <w:right w:type="dxa" w:w="120"/>
            </w:tcMar>
          </w:tcPr>
          <w:p>
            <w:pPr>
              <w:jc w:val="center"/>
            </w:pPr>
            <w:r>
              <w:rPr>
                <w:rFonts w:ascii="Arial" w:cs="Arial" w:eastAsia="Arial" w:hAnsi="Arial"/>
                <w:b/>
                <w:bCs/>
                <w:color w:val="1A1A1A"/>
                <w:sz w:val="19"/>
                <w:szCs w:val="19"/>
              </w:rPr>
              <w:t xml:space="preserve">$0.90/litre</w:t>
            </w:r>
          </w:p>
        </w:tc>
        <w:tc>
          <w:tcPr>
            <w:tcW w:type="dxa" w:w="2978"/>
            <w:tcBorders>
              <w:top w:val="single" w:color="DCDCDC" w:sz="4"/>
              <w:left w:val="single" w:color="DCDCDC" w:sz="4"/>
              <w:bottom w:val="single" w:color="DCDCDC" w:sz="4"/>
              <w:right w:val="single" w:color="DCDCD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1A1A1A"/>
                <w:sz w:val="19"/>
                <w:szCs w:val="19"/>
              </w:rPr>
              <w:t xml:space="preserve">$1.64 — Market-driven</w:t>
            </w:r>
          </w:p>
        </w:tc>
      </w:tr>
      <w:tr>
        <w:tc>
          <w:tcPr>
            <w:tcW w:type="dxa" w:w="3159"/>
            <w:tcBorders>
              <w:top w:val="single" w:color="DCDCDC" w:sz="4"/>
              <w:left w:val="single" w:color="DCDCDC" w:sz="4"/>
              <w:bottom w:val="single" w:color="DCDCDC" w:sz="4"/>
              <w:right w:val="single" w:color="DCDCDC" w:sz="4"/>
            </w:tcBorders>
            <w:shd w:fill="F4F4F4" w:val="clear"/>
            <w:tcMar>
              <w:top w:type="dxa" w:w="60"/>
              <w:left w:type="dxa" w:w="120"/>
              <w:bottom w:type="dxa" w:w="60"/>
              <w:right w:type="dxa" w:w="120"/>
            </w:tcMar>
          </w:tcPr>
          <w:p>
            <w:pPr>
              <w:jc w:val="left"/>
            </w:pPr>
            <w:r>
              <w:rPr>
                <w:rFonts w:ascii="Arial" w:cs="Arial" w:eastAsia="Arial" w:hAnsi="Arial"/>
                <w:b w:val="false"/>
                <w:bCs w:val="false"/>
                <w:color w:val="1A1A1A"/>
                <w:sz w:val="19"/>
                <w:szCs w:val="19"/>
              </w:rPr>
              <w:t xml:space="preserve">Middle East</w:t>
            </w:r>
          </w:p>
        </w:tc>
        <w:tc>
          <w:tcPr>
            <w:tcW w:type="dxa" w:w="2888"/>
            <w:tcBorders>
              <w:top w:val="single" w:color="DCDCDC" w:sz="4"/>
              <w:left w:val="single" w:color="DCDCDC" w:sz="4"/>
              <w:bottom w:val="single" w:color="DCDCDC" w:sz="4"/>
              <w:right w:val="single" w:color="DCDCDC" w:sz="4"/>
            </w:tcBorders>
            <w:shd w:fill="F4F4F4" w:val="clear"/>
            <w:tcMar>
              <w:top w:type="dxa" w:w="60"/>
              <w:left w:type="dxa" w:w="120"/>
              <w:bottom w:type="dxa" w:w="60"/>
              <w:right w:type="dxa" w:w="120"/>
            </w:tcMar>
          </w:tcPr>
          <w:p>
            <w:pPr>
              <w:jc w:val="center"/>
            </w:pPr>
            <w:r>
              <w:rPr>
                <w:rFonts w:ascii="Arial" w:cs="Arial" w:eastAsia="Arial" w:hAnsi="Arial"/>
                <w:b/>
                <w:bCs/>
                <w:color w:val="1A1A1A"/>
                <w:sz w:val="19"/>
                <w:szCs w:val="19"/>
              </w:rPr>
              <w:t xml:space="preserve">$0.51/litre</w:t>
            </w:r>
          </w:p>
        </w:tc>
        <w:tc>
          <w:tcPr>
            <w:tcW w:type="dxa" w:w="2978"/>
            <w:tcBorders>
              <w:top w:val="single" w:color="DCDCDC" w:sz="4"/>
              <w:left w:val="single" w:color="DCDCDC" w:sz="4"/>
              <w:bottom w:val="single" w:color="DCDCDC" w:sz="4"/>
              <w:right w:val="single" w:color="DCDCDC" w:sz="4"/>
            </w:tcBorders>
            <w:shd w:fill="F4F4F4" w:val="clear"/>
            <w:tcMar>
              <w:top w:type="dxa" w:w="60"/>
              <w:left w:type="dxa" w:w="120"/>
              <w:bottom w:type="dxa" w:w="60"/>
              <w:right w:type="dxa" w:w="120"/>
            </w:tcMar>
          </w:tcPr>
          <w:p>
            <w:pPr>
              <w:jc w:val="center"/>
            </w:pPr>
            <w:r>
              <w:rPr>
                <w:rFonts w:ascii="Arial" w:cs="Arial" w:eastAsia="Arial" w:hAnsi="Arial"/>
                <w:b w:val="false"/>
                <w:bCs w:val="false"/>
                <w:color w:val="1A1A1A"/>
                <w:sz w:val="19"/>
                <w:szCs w:val="19"/>
              </w:rPr>
              <w:t xml:space="preserve">$0.95 — Heavy state subsidies</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5F8A" w:sz="12"/>
              <w:left w:val="single" w:color="2C5F8A" w:sz="4"/>
              <w:bottom w:val="single" w:color="2C5F8A" w:sz="4"/>
              <w:right w:val="single" w:color="2C5F8A" w:sz="4"/>
            </w:tcBorders>
            <w:shd w:fill="EEF4FA" w:val="clear"/>
            <w:tcMar>
              <w:top w:type="dxa" w:w="120"/>
              <w:left w:type="dxa" w:w="160"/>
              <w:bottom w:type="dxa" w:w="120"/>
              <w:right w:type="dxa" w:w="160"/>
            </w:tcMar>
          </w:tcPr>
          <w:p>
            <w:r>
              <w:rPr>
                <w:rFonts w:ascii="Arial" w:cs="Arial" w:eastAsia="Arial" w:hAnsi="Arial"/>
                <w:b/>
                <w:bCs/>
                <w:color w:val="1B2A4A"/>
                <w:sz w:val="20"/>
                <w:szCs w:val="20"/>
              </w:rPr>
              <w:t xml:space="preserve">Key insight:  </w:t>
            </w:r>
            <w:r>
              <w:rPr>
                <w:rFonts w:ascii="Arial" w:cs="Arial" w:eastAsia="Arial" w:hAnsi="Arial"/>
                <w:color w:val="1A1A1A"/>
                <w:sz w:val="20"/>
                <w:szCs w:val="20"/>
              </w:rPr>
              <w:t xml:space="preserve">The $0.953/litre gap between Europe and the Middle East in 2026 is a direct result of policy divergence. Middle Eastern fuel remains 60–80% cheaper than Europe consistently across every decade in the dataset.</w:t>
            </w:r>
          </w:p>
        </w:tc>
      </w:tr>
    </w:tbl>
    <w:p>
      <w:pPr>
        <w:spacing w:after="160"/>
      </w:pPr>
      <w:r>
        <w:t xml:space="preserve"/>
      </w:r>
    </w:p>
    <w:p>
      <w:pPr>
        <w:pStyle w:val="Heading2"/>
        <w:spacing w:after="120" w:before="240"/>
      </w:pPr>
      <w:r>
        <w:rPr>
          <w:rFonts w:ascii="Arial" w:cs="Arial" w:eastAsia="Arial" w:hAnsi="Arial"/>
          <w:b/>
          <w:bCs/>
          <w:color w:val="1B2A4A"/>
          <w:sz w:val="26"/>
          <w:szCs w:val="26"/>
        </w:rPr>
        <w:t xml:space="preserve">3.4  Petrol Premium Analysis</w:t>
      </w:r>
    </w:p>
    <w:p>
      <w:pPr>
        <w:spacing w:after="60" w:before="1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105150"/>
                    </a:xfrm>
                    <a:prstGeom prst="rect">
                      <a:avLst/>
                    </a:prstGeom>
                  </pic:spPr>
                </pic:pic>
              </a:graphicData>
            </a:graphic>
          </wp:inline>
        </w:drawing>
      </w:r>
    </w:p>
    <w:p>
      <w:pPr>
        <w:spacing w:after="160" w:before="60"/>
        <w:jc w:val="center"/>
      </w:pPr>
      <w:r>
        <w:rPr>
          <w:rFonts w:ascii="Arial" w:cs="Arial" w:eastAsia="Arial" w:hAnsi="Arial"/>
          <w:i/>
          <w:iCs/>
          <w:color w:val="555555"/>
          <w:sz w:val="17"/>
          <w:szCs w:val="17"/>
        </w:rPr>
        <w:t xml:space="preserve">Figure 5 — Petrol vs diesel spread across six decades, demonstrating the indestructible petrol premium</w:t>
      </w:r>
    </w:p>
    <w:p>
      <w:pPr>
        <w:spacing w:after="120"/>
      </w:pPr>
      <w:r>
        <w:rPr>
          <w:rFonts w:ascii="Arial" w:cs="Arial" w:eastAsia="Arial" w:hAnsi="Arial"/>
          <w:color w:val="1A1A1A"/>
          <w:sz w:val="21"/>
          <w:szCs w:val="21"/>
        </w:rPr>
        <w:t xml:space="preserve">Despite the global proliferation of diesel vehicles over the past 50 years, petrol has maintained a consistent price premium over diesel in every decade covered by this dataset. This premium is rooted in refinery economics and global demand structure, not consumer preference.</w:t>
      </w:r>
    </w:p>
    <w:p>
      <w:pPr>
        <w:pStyle w:val="ListParagraph"/>
        <w:numPr>
          <w:ilvl w:val="0"/>
          <w:numId w:val="2"/>
        </w:numPr>
        <w:spacing w:after="80"/>
      </w:pPr>
      <w:r>
        <w:rPr>
          <w:rFonts w:ascii="Arial" w:cs="Arial" w:eastAsia="Arial" w:hAnsi="Arial"/>
          <w:color w:val="1A1A1A"/>
          <w:sz w:val="21"/>
          <w:szCs w:val="21"/>
        </w:rPr>
        <w:t xml:space="preserve">1970s petrol premium: 8.88% above diesel</w:t>
      </w:r>
    </w:p>
    <w:p>
      <w:pPr>
        <w:pStyle w:val="ListParagraph"/>
        <w:numPr>
          <w:ilvl w:val="0"/>
          <w:numId w:val="2"/>
        </w:numPr>
        <w:spacing w:after="80"/>
      </w:pPr>
      <w:r>
        <w:rPr>
          <w:rFonts w:ascii="Arial" w:cs="Arial" w:eastAsia="Arial" w:hAnsi="Arial"/>
          <w:color w:val="1A1A1A"/>
          <w:sz w:val="21"/>
          <w:szCs w:val="21"/>
        </w:rPr>
        <w:t xml:space="preserve">2010s petrol premium: 6.06% above diesel (slight compression, but premium persisted)</w:t>
      </w:r>
    </w:p>
    <w:p>
      <w:pPr>
        <w:pStyle w:val="ListParagraph"/>
        <w:numPr>
          <w:ilvl w:val="0"/>
          <w:numId w:val="2"/>
        </w:numPr>
        <w:spacing w:after="80"/>
      </w:pPr>
      <w:r>
        <w:rPr>
          <w:rFonts w:ascii="Arial" w:cs="Arial" w:eastAsia="Arial" w:hAnsi="Arial"/>
          <w:color w:val="1A1A1A"/>
          <w:sz w:val="21"/>
          <w:szCs w:val="21"/>
        </w:rPr>
        <w:t xml:space="preserve">No decade in the dataset recorded diesel as more expensive than petrol at the global average level</w:t>
      </w:r>
    </w:p>
    <w:p>
      <w:pPr>
        <w:spacing w:after="160"/>
      </w:pPr>
      <w:r>
        <w:t xml:space="preserve"/>
      </w:r>
    </w:p>
    <w:p>
      <w:r>
        <w:br w:type="page"/>
      </w:r>
    </w:p>
    <w:p>
      <w:pPr>
        <w:pStyle w:val="Heading2"/>
        <w:spacing w:after="120" w:before="240"/>
      </w:pPr>
      <w:r>
        <w:rPr>
          <w:rFonts w:ascii="Arial" w:cs="Arial" w:eastAsia="Arial" w:hAnsi="Arial"/>
          <w:b/>
          <w:bCs/>
          <w:color w:val="1B2A4A"/>
          <w:sz w:val="26"/>
          <w:szCs w:val="26"/>
        </w:rPr>
        <w:t xml:space="preserve">3.5  Seasonal Pricing Patterns</w:t>
      </w:r>
    </w:p>
    <w:p>
      <w:pPr>
        <w:spacing w:after="60" w:before="1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105150"/>
                    </a:xfrm>
                    <a:prstGeom prst="rect">
                      <a:avLst/>
                    </a:prstGeom>
                  </pic:spPr>
                </pic:pic>
              </a:graphicData>
            </a:graphic>
          </wp:inline>
        </w:drawing>
      </w:r>
    </w:p>
    <w:p>
      <w:pPr>
        <w:spacing w:after="160" w:before="60"/>
        <w:jc w:val="center"/>
      </w:pPr>
      <w:r>
        <w:rPr>
          <w:rFonts w:ascii="Arial" w:cs="Arial" w:eastAsia="Arial" w:hAnsi="Arial"/>
          <w:i/>
          <w:iCs/>
          <w:color w:val="555555"/>
          <w:sz w:val="17"/>
          <w:szCs w:val="17"/>
        </w:rPr>
        <w:t xml:space="preserve">Figure 6 — The Seasonal Blueprint: circular calendar showing Q1 trough zone and Q2-Q3 summer driving premium zone</w:t>
      </w:r>
    </w:p>
    <w:p>
      <w:pPr>
        <w:spacing w:after="120"/>
      </w:pPr>
      <w:r>
        <w:rPr>
          <w:rFonts w:ascii="Arial" w:cs="Arial" w:eastAsia="Arial" w:hAnsi="Arial"/>
          <w:color w:val="1A1A1A"/>
          <w:sz w:val="21"/>
          <w:szCs w:val="21"/>
        </w:rPr>
        <w:t xml:space="preserve">A consistent seasonal pattern is present across the 1990s, 2000s, and 2010s heatmaps. Crude oil prices reliably find their annual trough in Q1 (January–March) as winter heating demand subsides before summer driving season begins. Prices then build through Q2 and Q3, reflecting the northern hemisphere summer driving premium.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5F8A" w:sz="12"/>
              <w:left w:val="single" w:color="2C5F8A" w:sz="4"/>
              <w:bottom w:val="single" w:color="2C5F8A" w:sz="4"/>
              <w:right w:val="single" w:color="2C5F8A" w:sz="4"/>
            </w:tcBorders>
            <w:shd w:fill="EEF4FA" w:val="clear"/>
            <w:tcMar>
              <w:top w:type="dxa" w:w="120"/>
              <w:left w:type="dxa" w:w="160"/>
              <w:bottom w:type="dxa" w:w="120"/>
              <w:right w:type="dxa" w:w="160"/>
            </w:tcMar>
          </w:tcPr>
          <w:p>
            <w:r>
              <w:rPr>
                <w:rFonts w:ascii="Arial" w:cs="Arial" w:eastAsia="Arial" w:hAnsi="Arial"/>
                <w:b/>
                <w:bCs/>
                <w:color w:val="1B2A4A"/>
                <w:sz w:val="20"/>
                <w:szCs w:val="20"/>
              </w:rPr>
              <w:t xml:space="preserve">Key insight:  </w:t>
            </w:r>
            <w:r>
              <w:rPr>
                <w:rFonts w:ascii="Arial" w:cs="Arial" w:eastAsia="Arial" w:hAnsi="Arial"/>
                <w:color w:val="1A1A1A"/>
                <w:sz w:val="20"/>
                <w:szCs w:val="20"/>
              </w:rPr>
              <w:t xml:space="preserve">This seasonality is not an anomaly — it is a structural feature of global energy demand. Q1 entry and Q3 exit represents a historically favoured window for energy cost procurement and commodity positioning.</w:t>
            </w:r>
          </w:p>
        </w:tc>
      </w:tr>
    </w:tbl>
    <w:p>
      <w:pPr>
        <w:spacing w:after="160"/>
      </w:pPr>
      <w:r>
        <w:t xml:space="preserve"/>
      </w:r>
    </w:p>
    <w:p>
      <w:pPr>
        <w:pStyle w:val="Heading2"/>
        <w:spacing w:after="120" w:before="240"/>
      </w:pPr>
      <w:r>
        <w:rPr>
          <w:rFonts w:ascii="Arial" w:cs="Arial" w:eastAsia="Arial" w:hAnsi="Arial"/>
          <w:b/>
          <w:bCs/>
          <w:color w:val="1B2A4A"/>
          <w:sz w:val="26"/>
          <w:szCs w:val="26"/>
        </w:rPr>
        <w:t xml:space="preserve">3.6  Price Shock Analysis — 88 Months of Disruption</w:t>
      </w:r>
    </w:p>
    <w:p>
      <w:pPr>
        <w:spacing w:after="60" w:before="1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105150"/>
                    </a:xfrm>
                    <a:prstGeom prst="rect">
                      <a:avLst/>
                    </a:prstGeom>
                  </pic:spPr>
                </pic:pic>
              </a:graphicData>
            </a:graphic>
          </wp:inline>
        </w:drawing>
      </w:r>
    </w:p>
    <w:p>
      <w:pPr>
        <w:spacing w:after="160" w:before="60"/>
        <w:jc w:val="center"/>
      </w:pPr>
      <w:r>
        <w:rPr>
          <w:rFonts w:ascii="Arial" w:cs="Arial" w:eastAsia="Arial" w:hAnsi="Arial"/>
          <w:i/>
          <w:iCs/>
          <w:color w:val="555555"/>
          <w:sz w:val="17"/>
          <w:szCs w:val="17"/>
        </w:rPr>
        <w:t xml:space="preserve">Figure 7 — Black swan clustering: scatter plot of 88 price shock months (±15% MoM crude moves) across 56 years</w:t>
      </w:r>
    </w:p>
    <w:p>
      <w:pPr>
        <w:spacing w:after="120"/>
      </w:pPr>
      <w:r>
        <w:rPr>
          <w:rFonts w:ascii="Arial" w:cs="Arial" w:eastAsia="Arial" w:hAnsi="Arial"/>
          <w:color w:val="1A1A1A"/>
          <w:sz w:val="21"/>
          <w:szCs w:val="21"/>
        </w:rPr>
        <w:t xml:space="preserve">Price shocks — defined as months where crude oil moved by ±15% or more month-over-month — are not randomly distributed. Of the 2,700 months in the dataset, 88 (3.3%) recorded shock-level moves. These shocks cluster tightly around four nexus events: the 1973 OPEC Embargo, the 1980 Iran-Iraq War, the 2008 Global Financial Crisis, and the 2020 COVID-19 pandemic.</w:t>
      </w:r>
    </w:p>
    <w:p>
      <w:pPr>
        <w:pStyle w:val="ListParagraph"/>
        <w:numPr>
          <w:ilvl w:val="0"/>
          <w:numId w:val="2"/>
        </w:numPr>
        <w:spacing w:after="80"/>
      </w:pPr>
      <w:r>
        <w:rPr>
          <w:rFonts w:ascii="Arial" w:cs="Arial" w:eastAsia="Arial" w:hAnsi="Arial"/>
          <w:color w:val="1A1A1A"/>
          <w:sz w:val="21"/>
          <w:szCs w:val="21"/>
        </w:rPr>
        <w:t xml:space="preserve">1973 cluster: OPEC Embargo — cascading monthly moves as markets discovered new price discovery dynamics</w:t>
      </w:r>
    </w:p>
    <w:p>
      <w:pPr>
        <w:pStyle w:val="ListParagraph"/>
        <w:numPr>
          <w:ilvl w:val="0"/>
          <w:numId w:val="2"/>
        </w:numPr>
        <w:spacing w:after="80"/>
      </w:pPr>
      <w:r>
        <w:rPr>
          <w:rFonts w:ascii="Arial" w:cs="Arial" w:eastAsia="Arial" w:hAnsi="Arial"/>
          <w:color w:val="1A1A1A"/>
          <w:sz w:val="21"/>
          <w:szCs w:val="21"/>
        </w:rPr>
        <w:t xml:space="preserve">1980 cluster: Iran-Iraq War — 18+ months of consecutive shock-level volatility</w:t>
      </w:r>
    </w:p>
    <w:p>
      <w:pPr>
        <w:pStyle w:val="ListParagraph"/>
        <w:numPr>
          <w:ilvl w:val="0"/>
          <w:numId w:val="2"/>
        </w:numPr>
        <w:spacing w:after="80"/>
      </w:pPr>
      <w:r>
        <w:rPr>
          <w:rFonts w:ascii="Arial" w:cs="Arial" w:eastAsia="Arial" w:hAnsi="Arial"/>
          <w:color w:val="1A1A1A"/>
          <w:sz w:val="21"/>
          <w:szCs w:val="21"/>
        </w:rPr>
        <w:t xml:space="preserve">2008 cluster: GFC — both the spike and the crash generated shock readings in the same 12-month window</w:t>
      </w:r>
    </w:p>
    <w:p>
      <w:pPr>
        <w:pStyle w:val="ListParagraph"/>
        <w:numPr>
          <w:ilvl w:val="0"/>
          <w:numId w:val="2"/>
        </w:numPr>
        <w:spacing w:after="80"/>
      </w:pPr>
      <w:r>
        <w:rPr>
          <w:rFonts w:ascii="Arial" w:cs="Arial" w:eastAsia="Arial" w:hAnsi="Arial"/>
          <w:color w:val="1A1A1A"/>
          <w:sz w:val="21"/>
          <w:szCs w:val="21"/>
        </w:rPr>
        <w:t xml:space="preserve">2020 cluster: COVID — compressed shock cluster reflecting the unprecedented speed of demand collapse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5F8A" w:sz="12"/>
              <w:left w:val="single" w:color="2C5F8A" w:sz="4"/>
              <w:bottom w:val="single" w:color="2C5F8A" w:sz="4"/>
              <w:right w:val="single" w:color="2C5F8A" w:sz="4"/>
            </w:tcBorders>
            <w:shd w:fill="EEF4FA" w:val="clear"/>
            <w:tcMar>
              <w:top w:type="dxa" w:w="120"/>
              <w:left w:type="dxa" w:w="160"/>
              <w:bottom w:type="dxa" w:w="120"/>
              <w:right w:type="dxa" w:w="160"/>
            </w:tcMar>
          </w:tcPr>
          <w:p>
            <w:r>
              <w:rPr>
                <w:rFonts w:ascii="Arial" w:cs="Arial" w:eastAsia="Arial" w:hAnsi="Arial"/>
                <w:b/>
                <w:bCs/>
                <w:color w:val="1B2A4A"/>
                <w:sz w:val="20"/>
                <w:szCs w:val="20"/>
              </w:rPr>
              <w:t xml:space="preserve">Key insight:  </w:t>
            </w:r>
            <w:r>
              <w:rPr>
                <w:rFonts w:ascii="Arial" w:cs="Arial" w:eastAsia="Arial" w:hAnsi="Arial"/>
                <w:color w:val="1A1A1A"/>
                <w:sz w:val="20"/>
                <w:szCs w:val="20"/>
              </w:rPr>
              <w:t xml:space="preserve">Extreme volatility acts as a clustering phenomenon. When a shock begins, risk models must assume subsequent cascading moves for the following 12 months. Shock months are not independent events.</w:t>
            </w:r>
          </w:p>
        </w:tc>
      </w:tr>
    </w:tbl>
    <w:p>
      <w:pPr>
        <w:spacing w:after="160"/>
      </w:pPr>
      <w:r>
        <w:t xml:space="preserve"/>
      </w:r>
    </w:p>
    <w:p>
      <w:r>
        <w:br w:type="page"/>
      </w:r>
    </w:p>
    <w:p>
      <w:pPr>
        <w:pStyle w:val="Heading1"/>
        <w:spacing w:after="160" w:before="320"/>
      </w:pPr>
      <w:r>
        <w:rPr>
          <w:rFonts w:ascii="Arial" w:cs="Arial" w:eastAsia="Arial" w:hAnsi="Arial"/>
          <w:b/>
          <w:bCs/>
          <w:color w:val="1B2A4A"/>
          <w:sz w:val="36"/>
          <w:szCs w:val="36"/>
        </w:rPr>
        <w:t xml:space="preserve">4.  Geopolitical Event Impact Analysis</w:t>
      </w:r>
    </w:p>
    <w:p>
      <w:pPr>
        <w:spacing w:after="60" w:before="1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105150"/>
                    </a:xfrm>
                    <a:prstGeom prst="rect">
                      <a:avLst/>
                    </a:prstGeom>
                  </pic:spPr>
                </pic:pic>
              </a:graphicData>
            </a:graphic>
          </wp:inline>
        </w:drawing>
      </w:r>
    </w:p>
    <w:p>
      <w:pPr>
        <w:spacing w:after="160" w:before="60"/>
        <w:jc w:val="center"/>
      </w:pPr>
      <w:r>
        <w:rPr>
          <w:rFonts w:ascii="Arial" w:cs="Arial" w:eastAsia="Arial" w:hAnsi="Arial"/>
          <w:i/>
          <w:iCs/>
          <w:color w:val="555555"/>
          <w:sz w:val="17"/>
          <w:szCs w:val="17"/>
        </w:rPr>
        <w:t xml:space="preserve">Figure 8 — Event typology scorecard: four event types ranked by average crude price impact</w:t>
      </w:r>
    </w:p>
    <w:p>
      <w:pPr>
        <w:spacing w:after="120"/>
      </w:pPr>
      <w:r>
        <w:rPr>
          <w:rFonts w:ascii="Arial" w:cs="Arial" w:eastAsia="Arial" w:hAnsi="Arial"/>
          <w:color w:val="1A1A1A"/>
          <w:sz w:val="21"/>
          <w:szCs w:val="21"/>
        </w:rPr>
        <w:t xml:space="preserve">The dataset maps 26 named geopolitical events to specific months, enabling a direct quantitative comparison of how different categories of disruption affect crude oil pricing. The findings challenge the conventional assumption that wars are the primary driver of oil price spikes.</w:t>
      </w:r>
    </w:p>
    <w:p>
      <w:pPr>
        <w:pStyle w:val="Heading2"/>
        <w:spacing w:after="120" w:before="240"/>
      </w:pPr>
      <w:r>
        <w:rPr>
          <w:rFonts w:ascii="Arial" w:cs="Arial" w:eastAsia="Arial" w:hAnsi="Arial"/>
          <w:b/>
          <w:bCs/>
          <w:color w:val="1B2A4A"/>
          <w:sz w:val="26"/>
          <w:szCs w:val="26"/>
        </w:rPr>
        <w:t xml:space="preserve">4.1  Event Typology Scorecard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CDCDC" w:sz="4"/>
              <w:left w:val="single" w:color="DCDCDC" w:sz="4"/>
              <w:bottom w:val="single" w:color="DCDCDC" w:sz="4"/>
              <w:right w:val="single" w:color="DCDCDC" w:sz="4"/>
            </w:tcBorders>
            <w:shd w:fill="F4F4F4" w:val="clear"/>
            <w:tcMar>
              <w:top w:type="dxa" w:w="120"/>
              <w:left w:type="dxa" w:w="120"/>
              <w:bottom w:type="dxa" w:w="120"/>
              <w:right w:type="dxa" w:w="120"/>
            </w:tcMar>
          </w:tcPr>
          <w:p>
            <w:pPr>
              <w:spacing w:after="60"/>
            </w:pPr>
            <w:r>
              <w:rPr>
                <w:rFonts w:ascii="Arial" w:cs="Arial" w:eastAsia="Arial" w:hAnsi="Arial"/>
                <w:b/>
                <w:bCs/>
                <w:color w:val="C75B1A"/>
                <w:sz w:val="17"/>
                <w:szCs w:val="17"/>
              </w:rPr>
              <w:t xml:space="preserve">#1</w:t>
            </w:r>
          </w:p>
          <w:p>
            <w:pPr>
              <w:spacing w:after="80"/>
            </w:pPr>
            <w:r>
              <w:rPr>
                <w:rFonts w:ascii="Arial" w:cs="Arial" w:eastAsia="Arial" w:hAnsi="Arial"/>
                <w:b/>
                <w:bCs/>
                <w:color w:val="1A1A1A"/>
                <w:sz w:val="22"/>
                <w:szCs w:val="22"/>
              </w:rPr>
              <w:t xml:space="preserve">Economic Crisis</w:t>
            </w:r>
          </w:p>
          <w:p>
            <w:pPr>
              <w:spacing w:after="40"/>
            </w:pPr>
            <w:r>
              <w:rPr>
                <w:rFonts w:ascii="Arial" w:cs="Arial" w:eastAsia="Arial" w:hAnsi="Arial"/>
                <w:color w:val="555555"/>
                <w:sz w:val="17"/>
                <w:szCs w:val="17"/>
              </w:rPr>
              <w:t xml:space="preserve">Avg duration: 24 months avg</w:t>
            </w:r>
          </w:p>
          <w:p>
            <w:pPr>
              <w:spacing w:after="40"/>
            </w:pPr>
            <w:r>
              <w:rPr>
                <w:rFonts w:ascii="Arial" w:cs="Arial" w:eastAsia="Arial" w:hAnsi="Arial"/>
                <w:sz w:val="19"/>
                <w:szCs w:val="19"/>
              </w:rPr>
              <w:t xml:space="preserve">Avg Impact: </w:t>
            </w:r>
            <w:r>
              <w:rPr>
                <w:rFonts w:ascii="Arial" w:cs="Arial" w:eastAsia="Arial" w:hAnsi="Arial"/>
                <w:b/>
                <w:bCs/>
                <w:color w:val="C75B1A"/>
                <w:sz w:val="19"/>
                <w:szCs w:val="19"/>
              </w:rPr>
              <w:t xml:space="preserve">$91.89/bbl</w:t>
            </w:r>
          </w:p>
          <w:p>
            <w:pPr>
              <w:spacing w:after="0"/>
            </w:pPr>
            <w:r>
              <w:rPr>
                <w:rFonts w:ascii="Arial" w:cs="Arial" w:eastAsia="Arial" w:hAnsi="Arial"/>
                <w:sz w:val="19"/>
                <w:szCs w:val="19"/>
              </w:rPr>
              <w:t xml:space="preserve">Max Peak: </w:t>
            </w:r>
            <w:r>
              <w:rPr>
                <w:rFonts w:ascii="Arial" w:cs="Arial" w:eastAsia="Arial" w:hAnsi="Arial"/>
                <w:b/>
                <w:bCs/>
                <w:color w:val="C75B1A"/>
                <w:sz w:val="19"/>
                <w:szCs w:val="19"/>
              </w:rPr>
              <w:t xml:space="preserve">$143.18</w:t>
            </w:r>
          </w:p>
        </w:tc>
        <w:tc>
          <w:tcPr>
            <w:tcW w:type="dxa" w:w="2256"/>
            <w:tcBorders>
              <w:top w:val="single" w:color="DCDCDC" w:sz="4"/>
              <w:left w:val="single" w:color="DCDCDC" w:sz="4"/>
              <w:bottom w:val="single" w:color="DCDCDC" w:sz="4"/>
              <w:right w:val="single" w:color="DCDCDC" w:sz="4"/>
            </w:tcBorders>
            <w:shd w:fill="F4F4F4" w:val="clear"/>
            <w:tcMar>
              <w:top w:type="dxa" w:w="120"/>
              <w:left w:type="dxa" w:w="120"/>
              <w:bottom w:type="dxa" w:w="120"/>
              <w:right w:type="dxa" w:w="120"/>
            </w:tcMar>
          </w:tcPr>
          <w:p>
            <w:pPr>
              <w:spacing w:after="60"/>
            </w:pPr>
            <w:r>
              <w:rPr>
                <w:rFonts w:ascii="Arial" w:cs="Arial" w:eastAsia="Arial" w:hAnsi="Arial"/>
                <w:b/>
                <w:bCs/>
                <w:color w:val="C75B1A"/>
                <w:sz w:val="17"/>
                <w:szCs w:val="17"/>
              </w:rPr>
              <w:t xml:space="preserve">#2</w:t>
            </w:r>
          </w:p>
          <w:p>
            <w:pPr>
              <w:spacing w:after="80"/>
            </w:pPr>
            <w:r>
              <w:rPr>
                <w:rFonts w:ascii="Arial" w:cs="Arial" w:eastAsia="Arial" w:hAnsi="Arial"/>
                <w:b/>
                <w:bCs/>
                <w:color w:val="1A1A1A"/>
                <w:sz w:val="22"/>
                <w:szCs w:val="22"/>
              </w:rPr>
              <w:t xml:space="preserve">War</w:t>
            </w:r>
          </w:p>
          <w:p>
            <w:pPr>
              <w:spacing w:after="40"/>
            </w:pPr>
            <w:r>
              <w:rPr>
                <w:rFonts w:ascii="Arial" w:cs="Arial" w:eastAsia="Arial" w:hAnsi="Arial"/>
                <w:color w:val="555555"/>
                <w:sz w:val="17"/>
                <w:szCs w:val="17"/>
              </w:rPr>
              <w:t xml:space="preserve">Avg duration: 52 months avg</w:t>
            </w:r>
          </w:p>
          <w:p>
            <w:pPr>
              <w:spacing w:after="40"/>
            </w:pPr>
            <w:r>
              <w:rPr>
                <w:rFonts w:ascii="Arial" w:cs="Arial" w:eastAsia="Arial" w:hAnsi="Arial"/>
                <w:sz w:val="19"/>
                <w:szCs w:val="19"/>
              </w:rPr>
              <w:t xml:space="preserve">Avg Impact: </w:t>
            </w:r>
            <w:r>
              <w:rPr>
                <w:rFonts w:ascii="Arial" w:cs="Arial" w:eastAsia="Arial" w:hAnsi="Arial"/>
                <w:b/>
                <w:bCs/>
                <w:color w:val="C75B1A"/>
                <w:sz w:val="19"/>
                <w:szCs w:val="19"/>
              </w:rPr>
              <w:t xml:space="preserve">$54.20/bbl</w:t>
            </w:r>
          </w:p>
          <w:p>
            <w:pPr>
              <w:spacing w:after="0"/>
            </w:pPr>
            <w:r>
              <w:rPr>
                <w:rFonts w:ascii="Arial" w:cs="Arial" w:eastAsia="Arial" w:hAnsi="Arial"/>
                <w:sz w:val="19"/>
                <w:szCs w:val="19"/>
              </w:rPr>
              <w:t xml:space="preserve">Max Peak: </w:t>
            </w:r>
            <w:r>
              <w:rPr>
                <w:rFonts w:ascii="Arial" w:cs="Arial" w:eastAsia="Arial" w:hAnsi="Arial"/>
                <w:b/>
                <w:bCs/>
                <w:color w:val="C75B1A"/>
                <w:sz w:val="19"/>
                <w:szCs w:val="19"/>
              </w:rPr>
              <w:t xml:space="preserve">$120.57</w:t>
            </w:r>
          </w:p>
        </w:tc>
        <w:tc>
          <w:tcPr>
            <w:tcW w:type="dxa" w:w="2256"/>
            <w:tcBorders>
              <w:top w:val="single" w:color="DCDCDC" w:sz="4"/>
              <w:left w:val="single" w:color="DCDCDC" w:sz="4"/>
              <w:bottom w:val="single" w:color="DCDCDC" w:sz="4"/>
              <w:right w:val="single" w:color="DCDCDC" w:sz="4"/>
            </w:tcBorders>
            <w:shd w:fill="F4F4F4" w:val="clear"/>
            <w:tcMar>
              <w:top w:type="dxa" w:w="120"/>
              <w:left w:type="dxa" w:w="120"/>
              <w:bottom w:type="dxa" w:w="120"/>
              <w:right w:type="dxa" w:w="120"/>
            </w:tcMar>
          </w:tcPr>
          <w:p>
            <w:pPr>
              <w:spacing w:after="60"/>
            </w:pPr>
            <w:r>
              <w:rPr>
                <w:rFonts w:ascii="Arial" w:cs="Arial" w:eastAsia="Arial" w:hAnsi="Arial"/>
                <w:b/>
                <w:bCs/>
                <w:color w:val="C75B1A"/>
                <w:sz w:val="17"/>
                <w:szCs w:val="17"/>
              </w:rPr>
              <w:t xml:space="preserve">#3</w:t>
            </w:r>
          </w:p>
          <w:p>
            <w:pPr>
              <w:spacing w:after="80"/>
            </w:pPr>
            <w:r>
              <w:rPr>
                <w:rFonts w:ascii="Arial" w:cs="Arial" w:eastAsia="Arial" w:hAnsi="Arial"/>
                <w:b/>
                <w:bCs/>
                <w:color w:val="1A1A1A"/>
                <w:sz w:val="22"/>
                <w:szCs w:val="22"/>
              </w:rPr>
              <w:t xml:space="preserve">Policy</w:t>
            </w:r>
          </w:p>
          <w:p>
            <w:pPr>
              <w:spacing w:after="40"/>
            </w:pPr>
            <w:r>
              <w:rPr>
                <w:rFonts w:ascii="Arial" w:cs="Arial" w:eastAsia="Arial" w:hAnsi="Arial"/>
                <w:color w:val="555555"/>
                <w:sz w:val="17"/>
                <w:szCs w:val="17"/>
              </w:rPr>
              <w:t xml:space="preserve">Avg duration: 28 months avg</w:t>
            </w:r>
          </w:p>
          <w:p>
            <w:pPr>
              <w:spacing w:after="40"/>
            </w:pPr>
            <w:r>
              <w:rPr>
                <w:rFonts w:ascii="Arial" w:cs="Arial" w:eastAsia="Arial" w:hAnsi="Arial"/>
                <w:sz w:val="19"/>
                <w:szCs w:val="19"/>
              </w:rPr>
              <w:t xml:space="preserve">Avg Impact: </w:t>
            </w:r>
            <w:r>
              <w:rPr>
                <w:rFonts w:ascii="Arial" w:cs="Arial" w:eastAsia="Arial" w:hAnsi="Arial"/>
                <w:b/>
                <w:bCs/>
                <w:color w:val="C75B1A"/>
                <w:sz w:val="19"/>
                <w:szCs w:val="19"/>
              </w:rPr>
              <w:t xml:space="preserve">$28.97/bbl</w:t>
            </w:r>
          </w:p>
          <w:p>
            <w:pPr>
              <w:spacing w:after="0"/>
            </w:pPr>
            <w:r>
              <w:rPr>
                <w:rFonts w:ascii="Arial" w:cs="Arial" w:eastAsia="Arial" w:hAnsi="Arial"/>
                <w:sz w:val="19"/>
                <w:szCs w:val="19"/>
              </w:rPr>
              <w:t xml:space="preserve">Max Peak: </w:t>
            </w:r>
            <w:r>
              <w:rPr>
                <w:rFonts w:ascii="Arial" w:cs="Arial" w:eastAsia="Arial" w:hAnsi="Arial"/>
                <w:b/>
                <w:bCs/>
                <w:color w:val="C75B1A"/>
                <w:sz w:val="19"/>
                <w:szCs w:val="19"/>
              </w:rPr>
              <w:t xml:space="preserve">$71.52</w:t>
            </w:r>
          </w:p>
        </w:tc>
        <w:tc>
          <w:tcPr>
            <w:tcW w:type="dxa" w:w="2256"/>
            <w:tcBorders>
              <w:top w:val="single" w:color="DCDCDC" w:sz="4"/>
              <w:left w:val="single" w:color="DCDCDC" w:sz="4"/>
              <w:bottom w:val="single" w:color="DCDCDC" w:sz="4"/>
              <w:right w:val="single" w:color="DCDCDC" w:sz="4"/>
            </w:tcBorders>
            <w:shd w:fill="F4F4F4" w:val="clear"/>
            <w:tcMar>
              <w:top w:type="dxa" w:w="120"/>
              <w:left w:type="dxa" w:w="120"/>
              <w:bottom w:type="dxa" w:w="120"/>
              <w:right w:type="dxa" w:w="120"/>
            </w:tcMar>
          </w:tcPr>
          <w:p>
            <w:pPr>
              <w:spacing w:after="60"/>
            </w:pPr>
            <w:r>
              <w:rPr>
                <w:rFonts w:ascii="Arial" w:cs="Arial" w:eastAsia="Arial" w:hAnsi="Arial"/>
                <w:b/>
                <w:bCs/>
                <w:color w:val="C75B1A"/>
                <w:sz w:val="17"/>
                <w:szCs w:val="17"/>
              </w:rPr>
              <w:t xml:space="preserve">#4</w:t>
            </w:r>
          </w:p>
          <w:p>
            <w:pPr>
              <w:spacing w:after="80"/>
            </w:pPr>
            <w:r>
              <w:rPr>
                <w:rFonts w:ascii="Arial" w:cs="Arial" w:eastAsia="Arial" w:hAnsi="Arial"/>
                <w:b/>
                <w:bCs/>
                <w:color w:val="1A1A1A"/>
                <w:sz w:val="22"/>
                <w:szCs w:val="22"/>
              </w:rPr>
              <w:t xml:space="preserve">Pandemic</w:t>
            </w:r>
          </w:p>
          <w:p>
            <w:pPr>
              <w:spacing w:after="40"/>
            </w:pPr>
            <w:r>
              <w:rPr>
                <w:rFonts w:ascii="Arial" w:cs="Arial" w:eastAsia="Arial" w:hAnsi="Arial"/>
                <w:color w:val="555555"/>
                <w:sz w:val="17"/>
                <w:szCs w:val="17"/>
              </w:rPr>
              <w:t xml:space="preserve">Avg duration: 8 months avg</w:t>
            </w:r>
          </w:p>
          <w:p>
            <w:pPr>
              <w:spacing w:after="40"/>
            </w:pPr>
            <w:r>
              <w:rPr>
                <w:rFonts w:ascii="Arial" w:cs="Arial" w:eastAsia="Arial" w:hAnsi="Arial"/>
                <w:sz w:val="19"/>
                <w:szCs w:val="19"/>
              </w:rPr>
              <w:t xml:space="preserve">Avg Impact: </w:t>
            </w:r>
            <w:r>
              <w:rPr>
                <w:rFonts w:ascii="Arial" w:cs="Arial" w:eastAsia="Arial" w:hAnsi="Arial"/>
                <w:b/>
                <w:bCs/>
                <w:color w:val="C75B1A"/>
                <w:sz w:val="19"/>
                <w:szCs w:val="19"/>
              </w:rPr>
              <w:t xml:space="preserve">$12.23/bbl</w:t>
            </w:r>
          </w:p>
          <w:p>
            <w:pPr>
              <w:spacing w:after="0"/>
            </w:pPr>
            <w:r>
              <w:rPr>
                <w:rFonts w:ascii="Arial" w:cs="Arial" w:eastAsia="Arial" w:hAnsi="Arial"/>
                <w:sz w:val="19"/>
                <w:szCs w:val="19"/>
              </w:rPr>
              <w:t xml:space="preserve">Max Peak: </w:t>
            </w:r>
            <w:r>
              <w:rPr>
                <w:rFonts w:ascii="Arial" w:cs="Arial" w:eastAsia="Arial" w:hAnsi="Arial"/>
                <w:b/>
                <w:bCs/>
                <w:color w:val="C75B1A"/>
                <w:sz w:val="19"/>
                <w:szCs w:val="19"/>
              </w:rPr>
              <w:t xml:space="preserve">$15.36</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5F8A" w:sz="12"/>
              <w:left w:val="single" w:color="2C5F8A" w:sz="4"/>
              <w:bottom w:val="single" w:color="2C5F8A" w:sz="4"/>
              <w:right w:val="single" w:color="2C5F8A" w:sz="4"/>
            </w:tcBorders>
            <w:shd w:fill="EEF4FA" w:val="clear"/>
            <w:tcMar>
              <w:top w:type="dxa" w:w="120"/>
              <w:left w:type="dxa" w:w="160"/>
              <w:bottom w:type="dxa" w:w="120"/>
              <w:right w:type="dxa" w:w="160"/>
            </w:tcMar>
          </w:tcPr>
          <w:p>
            <w:r>
              <w:rPr>
                <w:rFonts w:ascii="Arial" w:cs="Arial" w:eastAsia="Arial" w:hAnsi="Arial"/>
                <w:b/>
                <w:bCs/>
                <w:color w:val="1B2A4A"/>
                <w:sz w:val="20"/>
                <w:szCs w:val="20"/>
              </w:rPr>
              <w:t xml:space="preserve">Key insight:  </w:t>
            </w:r>
            <w:r>
              <w:rPr>
                <w:rFonts w:ascii="Arial" w:cs="Arial" w:eastAsia="Arial" w:hAnsi="Arial"/>
                <w:color w:val="1A1A1A"/>
                <w:sz w:val="20"/>
                <w:szCs w:val="20"/>
              </w:rPr>
              <w:t xml:space="preserve">Financial system stress and economic demand shocks drive significantly higher peak pricing ($92/bbl) than the geopolitical fear premium associated with kinetic wars ($54/bbl), despite wars lasting twice as long on average.</w:t>
            </w:r>
          </w:p>
        </w:tc>
      </w:tr>
    </w:tbl>
    <w:p>
      <w:pPr>
        <w:spacing w:after="120"/>
      </w:pPr>
      <w:r>
        <w:t xml:space="preserve"/>
      </w:r>
    </w:p>
    <w:p>
      <w:pPr>
        <w:pStyle w:val="Heading2"/>
        <w:spacing w:after="120" w:before="240"/>
      </w:pPr>
      <w:r>
        <w:rPr>
          <w:rFonts w:ascii="Arial" w:cs="Arial" w:eastAsia="Arial" w:hAnsi="Arial"/>
          <w:b/>
          <w:bCs/>
          <w:color w:val="1B2A4A"/>
          <w:sz w:val="26"/>
          <w:szCs w:val="26"/>
        </w:rPr>
        <w:t xml:space="preserve">4.2  Volatility Ripple Effect</w:t>
      </w:r>
    </w:p>
    <w:p>
      <w:pPr>
        <w:spacing w:after="60" w:before="1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3105150"/>
                    </a:xfrm>
                    <a:prstGeom prst="rect">
                      <a:avLst/>
                    </a:prstGeom>
                  </pic:spPr>
                </pic:pic>
              </a:graphicData>
            </a:graphic>
          </wp:inline>
        </w:drawing>
      </w:r>
    </w:p>
    <w:p>
      <w:pPr>
        <w:spacing w:after="160" w:before="60"/>
        <w:jc w:val="center"/>
      </w:pPr>
      <w:r>
        <w:rPr>
          <w:rFonts w:ascii="Arial" w:cs="Arial" w:eastAsia="Arial" w:hAnsi="Arial"/>
          <w:i/>
          <w:iCs/>
          <w:color w:val="555555"/>
          <w:sz w:val="17"/>
          <w:szCs w:val="17"/>
        </w:rPr>
        <w:t xml:space="preserve">Figure 9 — Volatility ripple diagram: geopolitical shocks create 12-24 month periods of elevated pricing uncertainty</w:t>
      </w:r>
    </w:p>
    <w:p>
      <w:pPr>
        <w:spacing w:after="120"/>
      </w:pPr>
      <w:r>
        <w:rPr>
          <w:rFonts w:ascii="Arial" w:cs="Arial" w:eastAsia="Arial" w:hAnsi="Arial"/>
          <w:color w:val="1A1A1A"/>
          <w:sz w:val="21"/>
          <w:szCs w:val="21"/>
        </w:rPr>
        <w:t xml:space="preserve">The true cost of a geopolitical event is not the price on day one. The lasting damage is the destruction of pricing predictability for the 12 to 24 months that follow. The Rolling_Vol_12M column (column W in the dataset) captures this effect: after a shock month, the 12-month rolling standard deviation remains elevated in the 'High Vol Zone' (σ &gt; 10) even after the nominal price partially stabilises.</w:t>
      </w:r>
    </w:p>
    <w:p>
      <w:r>
        <w:br w:type="page"/>
      </w:r>
    </w:p>
    <w:p>
      <w:pPr>
        <w:pStyle w:val="Heading2"/>
        <w:spacing w:after="120" w:before="240"/>
      </w:pPr>
      <w:r>
        <w:rPr>
          <w:rFonts w:ascii="Arial" w:cs="Arial" w:eastAsia="Arial" w:hAnsi="Arial"/>
          <w:b/>
          <w:bCs/>
          <w:color w:val="1B2A4A"/>
          <w:sz w:val="26"/>
          <w:szCs w:val="26"/>
        </w:rPr>
        <w:t xml:space="preserve">4.3  High-Regime Market Anatomy</w:t>
      </w:r>
    </w:p>
    <w:p>
      <w:pPr>
        <w:spacing w:after="60" w:before="1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3105150"/>
                    </a:xfrm>
                    <a:prstGeom prst="rect">
                      <a:avLst/>
                    </a:prstGeom>
                  </pic:spPr>
                </pic:pic>
              </a:graphicData>
            </a:graphic>
          </wp:inline>
        </w:drawing>
      </w:r>
    </w:p>
    <w:p>
      <w:pPr>
        <w:spacing w:after="160" w:before="60"/>
        <w:jc w:val="center"/>
      </w:pPr>
      <w:r>
        <w:rPr>
          <w:rFonts w:ascii="Arial" w:cs="Arial" w:eastAsia="Arial" w:hAnsi="Arial"/>
          <w:i/>
          <w:iCs/>
          <w:color w:val="555555"/>
          <w:sz w:val="17"/>
          <w:szCs w:val="17"/>
        </w:rPr>
        <w:t xml:space="preserve">Figure 10 — Anatomy of a high-regime market: four-layer pyramid framework from structural baselines to macro shocks</w:t>
      </w:r>
    </w:p>
    <w:p>
      <w:pPr>
        <w:spacing w:after="120"/>
      </w:pPr>
      <w:r>
        <w:rPr>
          <w:rFonts w:ascii="Arial" w:cs="Arial" w:eastAsia="Arial" w:hAnsi="Arial"/>
          <w:color w:val="1A1A1A"/>
          <w:sz w:val="21"/>
          <w:szCs w:val="21"/>
        </w:rPr>
        <w:t xml:space="preserve">The project synthesises its findings into a four-layer framework that describes how modern energy markets are structured:</w:t>
      </w:r>
    </w:p>
    <w:p>
      <w:pPr>
        <w:pStyle w:val="ListParagraph"/>
        <w:numPr>
          <w:ilvl w:val="0"/>
          <w:numId w:val="2"/>
        </w:numPr>
        <w:spacing w:after="80"/>
      </w:pPr>
      <w:r>
        <w:rPr>
          <w:rFonts w:ascii="Arial" w:cs="Arial" w:eastAsia="Arial" w:hAnsi="Arial"/>
          <w:color w:val="1A1A1A"/>
          <w:sz w:val="21"/>
          <w:szCs w:val="21"/>
        </w:rPr>
        <w:t xml:space="preserve">Layer 1 — Structural Baselines: 2,252% base inflation since 1970; energy must be modelled as a long-term compounder</w:t>
      </w:r>
    </w:p>
    <w:p>
      <w:pPr>
        <w:pStyle w:val="ListParagraph"/>
        <w:numPr>
          <w:ilvl w:val="0"/>
          <w:numId w:val="2"/>
        </w:numPr>
        <w:spacing w:after="80"/>
      </w:pPr>
      <w:r>
        <w:rPr>
          <w:rFonts w:ascii="Arial" w:cs="Arial" w:eastAsia="Arial" w:hAnsi="Arial"/>
          <w:color w:val="1A1A1A"/>
          <w:sz w:val="21"/>
          <w:szCs w:val="21"/>
        </w:rPr>
        <w:t xml:space="preserve">Layer 2 — Geographic Fracturing: tax vs subsidy divides reaching nearly $1.00/litre between Europe and the Middle East</w:t>
      </w:r>
    </w:p>
    <w:p>
      <w:pPr>
        <w:pStyle w:val="ListParagraph"/>
        <w:numPr>
          <w:ilvl w:val="0"/>
          <w:numId w:val="2"/>
        </w:numPr>
        <w:spacing w:after="80"/>
      </w:pPr>
      <w:r>
        <w:rPr>
          <w:rFonts w:ascii="Arial" w:cs="Arial" w:eastAsia="Arial" w:hAnsi="Arial"/>
          <w:color w:val="1A1A1A"/>
          <w:sz w:val="21"/>
          <w:szCs w:val="21"/>
        </w:rPr>
        <w:t xml:space="preserve">Layer 3 — Market Microstructures: persistent petrol premiums and Q2-Q3 seasonal driving cycles create predictable patterns</w:t>
      </w:r>
    </w:p>
    <w:p>
      <w:pPr>
        <w:pStyle w:val="ListParagraph"/>
        <w:numPr>
          <w:ilvl w:val="0"/>
          <w:numId w:val="2"/>
        </w:numPr>
        <w:spacing w:after="80"/>
      </w:pPr>
      <w:r>
        <w:rPr>
          <w:rFonts w:ascii="Arial" w:cs="Arial" w:eastAsia="Arial" w:hAnsi="Arial"/>
          <w:color w:val="1A1A1A"/>
          <w:sz w:val="21"/>
          <w:szCs w:val="21"/>
        </w:rPr>
        <w:t xml:space="preserve">Layer 4 — Macro Shocks: economic demand destruction dominates over physical supply disruption in price impact</w:t>
      </w:r>
    </w:p>
    <w:p>
      <w:pPr>
        <w:spacing w:after="160"/>
      </w:pPr>
      <w:r>
        <w:t xml:space="preserve"/>
      </w:r>
    </w:p>
    <w:p>
      <w:r>
        <w:br w:type="page"/>
      </w:r>
    </w:p>
    <w:p>
      <w:pPr>
        <w:pStyle w:val="Heading1"/>
        <w:spacing w:after="160" w:before="320"/>
      </w:pPr>
      <w:r>
        <w:rPr>
          <w:rFonts w:ascii="Arial" w:cs="Arial" w:eastAsia="Arial" w:hAnsi="Arial"/>
          <w:b/>
          <w:bCs/>
          <w:color w:val="1B2A4A"/>
          <w:sz w:val="36"/>
          <w:szCs w:val="36"/>
        </w:rPr>
        <w:t xml:space="preserve">5.  Demand-Supply Leading Indicator</w:t>
      </w:r>
    </w:p>
    <w:p>
      <w:pPr>
        <w:spacing w:after="60" w:before="1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3105150"/>
                    </a:xfrm>
                    <a:prstGeom prst="rect">
                      <a:avLst/>
                    </a:prstGeom>
                  </pic:spPr>
                </pic:pic>
              </a:graphicData>
            </a:graphic>
          </wp:inline>
        </w:drawing>
      </w:r>
    </w:p>
    <w:p>
      <w:pPr>
        <w:spacing w:after="160" w:before="60"/>
        <w:jc w:val="center"/>
      </w:pPr>
      <w:r>
        <w:rPr>
          <w:rFonts w:ascii="Arial" w:cs="Arial" w:eastAsia="Arial" w:hAnsi="Arial"/>
          <w:i/>
          <w:iCs/>
          <w:color w:val="555555"/>
          <w:sz w:val="17"/>
          <w:szCs w:val="17"/>
        </w:rPr>
        <w:t xml:space="preserve">Figure 11 — The predictive engine: Demand/Supply Ratio scales diagram with bullish and bearish threshold zones</w:t>
      </w:r>
    </w:p>
    <w:p>
      <w:pPr>
        <w:spacing w:after="120"/>
      </w:pPr>
      <w:r>
        <w:rPr>
          <w:rFonts w:ascii="Arial" w:cs="Arial" w:eastAsia="Arial" w:hAnsi="Arial"/>
          <w:color w:val="1A1A1A"/>
          <w:sz w:val="21"/>
          <w:szCs w:val="21"/>
        </w:rPr>
        <w:t xml:space="preserve">The Demand-Supply Ratio (DS_Ratio, column AC in the dataset) is calculated as Global_Demand_Index divided by Oil_Supply_Index. This metric functions as a leading indicator for crude price movements, with signal properties observable 6 months before price changes materialise.</w:t>
      </w:r>
    </w:p>
    <w:p>
      <w:pPr>
        <w:pStyle w:val="Heading2"/>
        <w:spacing w:after="120" w:before="240"/>
      </w:pPr>
      <w:r>
        <w:rPr>
          <w:rFonts w:ascii="Arial" w:cs="Arial" w:eastAsia="Arial" w:hAnsi="Arial"/>
          <w:b/>
          <w:bCs/>
          <w:color w:val="1B2A4A"/>
          <w:sz w:val="26"/>
          <w:szCs w:val="26"/>
        </w:rPr>
        <w:t xml:space="preserve">5.1  Signal Interpretation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2888"/>
        <w:gridCol w:w="2978"/>
      </w:tblGrid>
      <w:tr>
        <w:trPr>
          <w:tblHeader/>
        </w:trPr>
        <w:tc>
          <w:tcPr>
            <w:tcW w:type="dxa" w:w="3159"/>
            <w:tcBorders>
              <w:top w:val="single" w:color="DCDCDC" w:sz="4"/>
              <w:left w:val="single" w:color="DCDCDC" w:sz="4"/>
              <w:bottom w:val="single" w:color="DCDCDC" w:sz="4"/>
              <w:right w:val="single" w:color="DCDCDC" w:sz="4"/>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D/S Ratio Zone</w:t>
            </w:r>
          </w:p>
        </w:tc>
        <w:tc>
          <w:tcPr>
            <w:tcW w:type="dxa" w:w="2888"/>
            <w:tcBorders>
              <w:top w:val="single" w:color="DCDCDC" w:sz="4"/>
              <w:left w:val="single" w:color="DCDCDC" w:sz="4"/>
              <w:bottom w:val="single" w:color="DCDCDC" w:sz="4"/>
              <w:right w:val="single" w:color="DCDCDC" w:sz="4"/>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Threshold</w:t>
            </w:r>
          </w:p>
        </w:tc>
        <w:tc>
          <w:tcPr>
            <w:tcW w:type="dxa" w:w="2978"/>
            <w:tcBorders>
              <w:top w:val="single" w:color="DCDCDC" w:sz="4"/>
              <w:left w:val="single" w:color="DCDCDC" w:sz="4"/>
              <w:bottom w:val="single" w:color="DCDCDC" w:sz="4"/>
              <w:right w:val="single" w:color="DCDCDC" w:sz="4"/>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Implication</w:t>
            </w:r>
          </w:p>
        </w:tc>
      </w:tr>
      <w:tr>
        <w:tc>
          <w:tcPr>
            <w:tcW w:type="dxa" w:w="3159"/>
            <w:tcBorders>
              <w:top w:val="single" w:color="DCDCDC" w:sz="4"/>
              <w:left w:val="single" w:color="DCDCDC" w:sz="4"/>
              <w:bottom w:val="single" w:color="DCDCDC" w:sz="4"/>
              <w:right w:val="single" w:color="DCDCDC" w:sz="4"/>
            </w:tcBorders>
            <w:shd w:fill="FFFFFF" w:val="clear"/>
            <w:tcMar>
              <w:top w:type="dxa" w:w="60"/>
              <w:left w:type="dxa" w:w="120"/>
              <w:bottom w:type="dxa" w:w="60"/>
              <w:right w:type="dxa" w:w="120"/>
            </w:tcMar>
          </w:tcPr>
          <w:p>
            <w:pPr>
              <w:jc w:val="left"/>
            </w:pPr>
            <w:r>
              <w:rPr>
                <w:rFonts w:ascii="Arial" w:cs="Arial" w:eastAsia="Arial" w:hAnsi="Arial"/>
                <w:b w:val="false"/>
                <w:bCs w:val="false"/>
                <w:color w:val="1A1A1A"/>
                <w:sz w:val="19"/>
                <w:szCs w:val="19"/>
              </w:rPr>
              <w:t xml:space="preserve">Red Zone (Bullish)</w:t>
            </w:r>
          </w:p>
        </w:tc>
        <w:tc>
          <w:tcPr>
            <w:tcW w:type="dxa" w:w="2888"/>
            <w:tcBorders>
              <w:top w:val="single" w:color="DCDCDC" w:sz="4"/>
              <w:left w:val="single" w:color="DCDCDC" w:sz="4"/>
              <w:bottom w:val="single" w:color="DCDCDC" w:sz="4"/>
              <w:right w:val="single" w:color="DCDCD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1A1A1A"/>
                <w:sz w:val="19"/>
                <w:szCs w:val="19"/>
              </w:rPr>
              <w:t xml:space="preserve">&gt; 1.02</w:t>
            </w:r>
          </w:p>
        </w:tc>
        <w:tc>
          <w:tcPr>
            <w:tcW w:type="dxa" w:w="2978"/>
            <w:tcBorders>
              <w:top w:val="single" w:color="DCDCDC" w:sz="4"/>
              <w:left w:val="single" w:color="DCDCDC" w:sz="4"/>
              <w:bottom w:val="single" w:color="DCDCDC" w:sz="4"/>
              <w:right w:val="single" w:color="DCDCD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1A1A1A"/>
                <w:sz w:val="19"/>
                <w:szCs w:val="19"/>
              </w:rPr>
              <w:t xml:space="preserve">Demand aggressively exceeds supply — price rise expected within 6 months</w:t>
            </w:r>
          </w:p>
        </w:tc>
      </w:tr>
      <w:tr>
        <w:tc>
          <w:tcPr>
            <w:tcW w:type="dxa" w:w="3159"/>
            <w:tcBorders>
              <w:top w:val="single" w:color="DCDCDC" w:sz="4"/>
              <w:left w:val="single" w:color="DCDCDC" w:sz="4"/>
              <w:bottom w:val="single" w:color="DCDCDC" w:sz="4"/>
              <w:right w:val="single" w:color="DCDCDC" w:sz="4"/>
            </w:tcBorders>
            <w:shd w:fill="F4F4F4" w:val="clear"/>
            <w:tcMar>
              <w:top w:type="dxa" w:w="60"/>
              <w:left w:type="dxa" w:w="120"/>
              <w:bottom w:type="dxa" w:w="60"/>
              <w:right w:type="dxa" w:w="120"/>
            </w:tcMar>
          </w:tcPr>
          <w:p>
            <w:pPr>
              <w:jc w:val="left"/>
            </w:pPr>
            <w:r>
              <w:rPr>
                <w:rFonts w:ascii="Arial" w:cs="Arial" w:eastAsia="Arial" w:hAnsi="Arial"/>
                <w:b w:val="false"/>
                <w:bCs w:val="false"/>
                <w:color w:val="1A1A1A"/>
                <w:sz w:val="19"/>
                <w:szCs w:val="19"/>
              </w:rPr>
              <w:t xml:space="preserve">Neutral Zone</w:t>
            </w:r>
          </w:p>
        </w:tc>
        <w:tc>
          <w:tcPr>
            <w:tcW w:type="dxa" w:w="2888"/>
            <w:tcBorders>
              <w:top w:val="single" w:color="DCDCDC" w:sz="4"/>
              <w:left w:val="single" w:color="DCDCDC" w:sz="4"/>
              <w:bottom w:val="single" w:color="DCDCDC" w:sz="4"/>
              <w:right w:val="single" w:color="DCDCDC" w:sz="4"/>
            </w:tcBorders>
            <w:shd w:fill="F4F4F4" w:val="clear"/>
            <w:tcMar>
              <w:top w:type="dxa" w:w="60"/>
              <w:left w:type="dxa" w:w="120"/>
              <w:bottom w:type="dxa" w:w="60"/>
              <w:right w:type="dxa" w:w="120"/>
            </w:tcMar>
          </w:tcPr>
          <w:p>
            <w:pPr>
              <w:jc w:val="center"/>
            </w:pPr>
            <w:r>
              <w:rPr>
                <w:rFonts w:ascii="Arial" w:cs="Arial" w:eastAsia="Arial" w:hAnsi="Arial"/>
                <w:b w:val="false"/>
                <w:bCs w:val="false"/>
                <w:color w:val="1A1A1A"/>
                <w:sz w:val="19"/>
                <w:szCs w:val="19"/>
              </w:rPr>
              <w:t xml:space="preserve">0.95 to 1.02</w:t>
            </w:r>
          </w:p>
        </w:tc>
        <w:tc>
          <w:tcPr>
            <w:tcW w:type="dxa" w:w="2978"/>
            <w:tcBorders>
              <w:top w:val="single" w:color="DCDCDC" w:sz="4"/>
              <w:left w:val="single" w:color="DCDCDC" w:sz="4"/>
              <w:bottom w:val="single" w:color="DCDCDC" w:sz="4"/>
              <w:right w:val="single" w:color="DCDCDC" w:sz="4"/>
            </w:tcBorders>
            <w:shd w:fill="F4F4F4" w:val="clear"/>
            <w:tcMar>
              <w:top w:type="dxa" w:w="60"/>
              <w:left w:type="dxa" w:w="120"/>
              <w:bottom w:type="dxa" w:w="60"/>
              <w:right w:type="dxa" w:w="120"/>
            </w:tcMar>
          </w:tcPr>
          <w:p>
            <w:pPr>
              <w:jc w:val="center"/>
            </w:pPr>
            <w:r>
              <w:rPr>
                <w:rFonts w:ascii="Arial" w:cs="Arial" w:eastAsia="Arial" w:hAnsi="Arial"/>
                <w:b w:val="false"/>
                <w:bCs w:val="false"/>
                <w:color w:val="1A1A1A"/>
                <w:sz w:val="19"/>
                <w:szCs w:val="19"/>
              </w:rPr>
              <w:t xml:space="preserve">Balanced market — no directional signal</w:t>
            </w:r>
          </w:p>
        </w:tc>
      </w:tr>
      <w:tr>
        <w:tc>
          <w:tcPr>
            <w:tcW w:type="dxa" w:w="3159"/>
            <w:tcBorders>
              <w:top w:val="single" w:color="DCDCDC" w:sz="4"/>
              <w:left w:val="single" w:color="DCDCDC" w:sz="4"/>
              <w:bottom w:val="single" w:color="DCDCDC" w:sz="4"/>
              <w:right w:val="single" w:color="DCDCDC" w:sz="4"/>
            </w:tcBorders>
            <w:shd w:fill="FFFFFF" w:val="clear"/>
            <w:tcMar>
              <w:top w:type="dxa" w:w="60"/>
              <w:left w:type="dxa" w:w="120"/>
              <w:bottom w:type="dxa" w:w="60"/>
              <w:right w:type="dxa" w:w="120"/>
            </w:tcMar>
          </w:tcPr>
          <w:p>
            <w:pPr>
              <w:jc w:val="left"/>
            </w:pPr>
            <w:r>
              <w:rPr>
                <w:rFonts w:ascii="Arial" w:cs="Arial" w:eastAsia="Arial" w:hAnsi="Arial"/>
                <w:b w:val="false"/>
                <w:bCs w:val="false"/>
                <w:color w:val="1A1A1A"/>
                <w:sz w:val="19"/>
                <w:szCs w:val="19"/>
              </w:rPr>
              <w:t xml:space="preserve">Blue Zone (Bearish)</w:t>
            </w:r>
          </w:p>
        </w:tc>
        <w:tc>
          <w:tcPr>
            <w:tcW w:type="dxa" w:w="2888"/>
            <w:tcBorders>
              <w:top w:val="single" w:color="DCDCDC" w:sz="4"/>
              <w:left w:val="single" w:color="DCDCDC" w:sz="4"/>
              <w:bottom w:val="single" w:color="DCDCDC" w:sz="4"/>
              <w:right w:val="single" w:color="DCDCD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1A1A1A"/>
                <w:sz w:val="19"/>
                <w:szCs w:val="19"/>
              </w:rPr>
              <w:t xml:space="preserve">&lt; 0.95</w:t>
            </w:r>
          </w:p>
        </w:tc>
        <w:tc>
          <w:tcPr>
            <w:tcW w:type="dxa" w:w="2978"/>
            <w:tcBorders>
              <w:top w:val="single" w:color="DCDCDC" w:sz="4"/>
              <w:left w:val="single" w:color="DCDCDC" w:sz="4"/>
              <w:bottom w:val="single" w:color="DCDCDC" w:sz="4"/>
              <w:right w:val="single" w:color="DCDCDC" w:sz="4"/>
            </w:tcBorders>
            <w:shd w:fill="FFFFFF" w:val="clear"/>
            <w:tcMar>
              <w:top w:type="dxa" w:w="60"/>
              <w:left w:type="dxa" w:w="120"/>
              <w:bottom w:type="dxa" w:w="60"/>
              <w:right w:type="dxa" w:w="120"/>
            </w:tcMar>
          </w:tcPr>
          <w:p>
            <w:pPr>
              <w:jc w:val="center"/>
            </w:pPr>
            <w:r>
              <w:rPr>
                <w:rFonts w:ascii="Arial" w:cs="Arial" w:eastAsia="Arial" w:hAnsi="Arial"/>
                <w:b w:val="false"/>
                <w:bCs w:val="false"/>
                <w:color w:val="1A1A1A"/>
                <w:sz w:val="19"/>
                <w:szCs w:val="19"/>
              </w:rPr>
              <w:t xml:space="preserve">Oversupply conditions — price relief within 3-6 months</w:t>
            </w:r>
          </w:p>
        </w:tc>
      </w:tr>
    </w:tbl>
    <w:p>
      <w:pPr>
        <w:spacing w:after="120"/>
      </w:pPr>
      <w:r>
        <w:t xml:space="preserve"/>
      </w:r>
    </w:p>
    <w:p>
      <w:pPr>
        <w:pStyle w:val="Heading2"/>
        <w:spacing w:after="120" w:before="240"/>
      </w:pPr>
      <w:r>
        <w:rPr>
          <w:rFonts w:ascii="Arial" w:cs="Arial" w:eastAsia="Arial" w:hAnsi="Arial"/>
          <w:b/>
          <w:bCs/>
          <w:color w:val="1B2A4A"/>
          <w:sz w:val="26"/>
          <w:szCs w:val="26"/>
        </w:rPr>
        <w:t xml:space="preserve">5.2  2008 Case Study — Signal Validation</w:t>
      </w:r>
    </w:p>
    <w:p>
      <w:pPr>
        <w:spacing w:after="60" w:before="1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3105150"/>
                    </a:xfrm>
                    <a:prstGeom prst="rect">
                      <a:avLst/>
                    </a:prstGeom>
                  </pic:spPr>
                </pic:pic>
              </a:graphicData>
            </a:graphic>
          </wp:inline>
        </w:drawing>
      </w:r>
    </w:p>
    <w:p>
      <w:pPr>
        <w:spacing w:after="160" w:before="60"/>
        <w:jc w:val="center"/>
      </w:pPr>
      <w:r>
        <w:rPr>
          <w:rFonts w:ascii="Arial" w:cs="Arial" w:eastAsia="Arial" w:hAnsi="Arial"/>
          <w:i/>
          <w:iCs/>
          <w:color w:val="555555"/>
          <w:sz w:val="17"/>
          <w:szCs w:val="17"/>
        </w:rPr>
        <w:t xml:space="preserve">Figure 12 — 2008 case study: D/S Ratio crossed the bullish threshold in 2003, five years before crude hit $143.18/bbl</w:t>
      </w:r>
    </w:p>
    <w:p>
      <w:pPr>
        <w:spacing w:after="120"/>
      </w:pPr>
      <w:r>
        <w:rPr>
          <w:rFonts w:ascii="Arial" w:cs="Arial" w:eastAsia="Arial" w:hAnsi="Arial"/>
          <w:color w:val="1A1A1A"/>
          <w:sz w:val="21"/>
          <w:szCs w:val="21"/>
        </w:rPr>
        <w:t xml:space="preserve">The 2003–2009 period provides the clearest validation of the D/S Ratio as a leading indicator. In 2003, the ratio crossed the 1.0334 bullish threshold while crude was trading at $33.31/bbl. Over the following five years, the ratio climbed continuously to its peak of 1.1489 in early 2008 — immediately preceding the all-time crude oil high of $143.18/bbl in July 2008.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5F8A" w:sz="12"/>
              <w:left w:val="single" w:color="2C5F8A" w:sz="4"/>
              <w:bottom w:val="single" w:color="2C5F8A" w:sz="4"/>
              <w:right w:val="single" w:color="2C5F8A" w:sz="4"/>
            </w:tcBorders>
            <w:shd w:fill="EEF4FA" w:val="clear"/>
            <w:tcMar>
              <w:top w:type="dxa" w:w="120"/>
              <w:left w:type="dxa" w:w="160"/>
              <w:bottom w:type="dxa" w:w="120"/>
              <w:right w:type="dxa" w:w="160"/>
            </w:tcMar>
          </w:tcPr>
          <w:p>
            <w:r>
              <w:rPr>
                <w:rFonts w:ascii="Arial" w:cs="Arial" w:eastAsia="Arial" w:hAnsi="Arial"/>
                <w:b/>
                <w:bCs/>
                <w:color w:val="1B2A4A"/>
                <w:sz w:val="20"/>
                <w:szCs w:val="20"/>
              </w:rPr>
              <w:t xml:space="preserve">Key insight:  </w:t>
            </w:r>
            <w:r>
              <w:rPr>
                <w:rFonts w:ascii="Arial" w:cs="Arial" w:eastAsia="Arial" w:hAnsi="Arial"/>
                <w:color w:val="1A1A1A"/>
                <w:sz w:val="20"/>
                <w:szCs w:val="20"/>
              </w:rPr>
              <w:t xml:space="preserve">The D/S Ratio does not measure the current price. It measures underlying physical tension. Any sustained reading above 1.02 mandates immediate defensive posturing ahead of the approximate 6-month crude price lag.</w:t>
            </w:r>
          </w:p>
        </w:tc>
      </w:tr>
    </w:tbl>
    <w:p>
      <w:pPr>
        <w:spacing w:after="160"/>
      </w:pPr>
      <w:r>
        <w:t xml:space="preserve"/>
      </w:r>
    </w:p>
    <w:p>
      <w:pPr>
        <w:pStyle w:val="Heading2"/>
        <w:spacing w:after="120" w:before="240"/>
      </w:pPr>
      <w:r>
        <w:rPr>
          <w:rFonts w:ascii="Arial" w:cs="Arial" w:eastAsia="Arial" w:hAnsi="Arial"/>
          <w:b/>
          <w:bCs/>
          <w:color w:val="1B2A4A"/>
          <w:sz w:val="26"/>
          <w:szCs w:val="26"/>
        </w:rPr>
        <w:t xml:space="preserve">5.3  COVID Stress Test — Policy Response Analysis</w:t>
      </w:r>
    </w:p>
    <w:p>
      <w:pPr>
        <w:spacing w:after="60" w:before="1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3105150"/>
                    </a:xfrm>
                    <a:prstGeom prst="rect">
                      <a:avLst/>
                    </a:prstGeom>
                  </pic:spPr>
                </pic:pic>
              </a:graphicData>
            </a:graphic>
          </wp:inline>
        </w:drawing>
      </w:r>
    </w:p>
    <w:p>
      <w:pPr>
        <w:spacing w:after="160" w:before="60"/>
        <w:jc w:val="center"/>
      </w:pPr>
      <w:r>
        <w:rPr>
          <w:rFonts w:ascii="Arial" w:cs="Arial" w:eastAsia="Arial" w:hAnsi="Arial"/>
          <w:i/>
          <w:iCs/>
          <w:color w:val="555555"/>
          <w:sz w:val="17"/>
          <w:szCs w:val="17"/>
        </w:rPr>
        <w:t xml:space="preserve">Figure 13 — 2020 stress test: the unprecedented demand collapse and OPEC+ policy intervention that established an artificial price floor</w:t>
      </w:r>
    </w:p>
    <w:p>
      <w:pPr>
        <w:spacing w:after="120"/>
      </w:pPr>
      <w:r>
        <w:rPr>
          <w:rFonts w:ascii="Arial" w:cs="Arial" w:eastAsia="Arial" w:hAnsi="Arial"/>
          <w:color w:val="1A1A1A"/>
          <w:sz w:val="21"/>
          <w:szCs w:val="21"/>
        </w:rPr>
        <w:t xml:space="preserve">The 2020 pandemic year represents the most violent demand shock in the dataset. Crude fell from $133.89/bbl in January to a monthly low of $5.14/bbl in June — a 96% collapse in six months. The subsequent OPEC+ Emergency Cuts established an artificial supply floor that enabled near-complete price recovery by December 2020 ($139.98/bbl).</w:t>
      </w:r>
    </w:p>
    <w:p>
      <w:pPr>
        <w:pStyle w:val="ListParagraph"/>
        <w:numPr>
          <w:ilvl w:val="0"/>
          <w:numId w:val="2"/>
        </w:numPr>
        <w:spacing w:after="80"/>
      </w:pPr>
      <w:r>
        <w:rPr>
          <w:rFonts w:ascii="Arial" w:cs="Arial" w:eastAsia="Arial" w:hAnsi="Arial"/>
          <w:color w:val="1A1A1A"/>
          <w:sz w:val="21"/>
          <w:szCs w:val="21"/>
        </w:rPr>
        <w:t xml:space="preserve">The fall: pandemic lockdowns triggered unprecedented demand collapse, dragging the 2020 average to $17.04/bbl</w:t>
      </w:r>
    </w:p>
    <w:p>
      <w:pPr>
        <w:pStyle w:val="ListParagraph"/>
        <w:numPr>
          <w:ilvl w:val="0"/>
          <w:numId w:val="2"/>
        </w:numPr>
        <w:spacing w:after="80"/>
      </w:pPr>
      <w:r>
        <w:rPr>
          <w:rFonts w:ascii="Arial" w:cs="Arial" w:eastAsia="Arial" w:hAnsi="Arial"/>
          <w:color w:val="1A1A1A"/>
          <w:sz w:val="21"/>
          <w:szCs w:val="21"/>
        </w:rPr>
        <w:t xml:space="preserve">The floor: crude reached $5.14/bbl — the lowest monthly price recorded since 1986</w:t>
      </w:r>
    </w:p>
    <w:p>
      <w:pPr>
        <w:pStyle w:val="ListParagraph"/>
        <w:numPr>
          <w:ilvl w:val="0"/>
          <w:numId w:val="2"/>
        </w:numPr>
        <w:spacing w:after="80"/>
      </w:pPr>
      <w:r>
        <w:rPr>
          <w:rFonts w:ascii="Arial" w:cs="Arial" w:eastAsia="Arial" w:hAnsi="Arial"/>
          <w:color w:val="1A1A1A"/>
          <w:sz w:val="21"/>
          <w:szCs w:val="21"/>
        </w:rPr>
        <w:t xml:space="preserve">The response: OPEC+ Emergency Cuts injected a coordinated artificial supply floor</w:t>
      </w:r>
    </w:p>
    <w:p>
      <w:pPr>
        <w:pStyle w:val="ListParagraph"/>
        <w:numPr>
          <w:ilvl w:val="0"/>
          <w:numId w:val="2"/>
        </w:numPr>
        <w:spacing w:after="80"/>
      </w:pPr>
      <w:r>
        <w:rPr>
          <w:rFonts w:ascii="Arial" w:cs="Arial" w:eastAsia="Arial" w:hAnsi="Arial"/>
          <w:color w:val="1A1A1A"/>
          <w:sz w:val="21"/>
          <w:szCs w:val="21"/>
        </w:rPr>
        <w:t xml:space="preserve">The recovery: near-complete price recovery within six months of the trough</w:t>
      </w:r>
    </w:p>
    <w:p>
      <w:pPr>
        <w:spacing w:after="160"/>
      </w:pPr>
      <w:r>
        <w:t xml:space="preserve"/>
      </w:r>
    </w:p>
    <w:p>
      <w:r>
        <w:br w:type="page"/>
      </w:r>
    </w:p>
    <w:p>
      <w:pPr>
        <w:pStyle w:val="Heading1"/>
        <w:spacing w:after="160" w:before="320"/>
      </w:pPr>
      <w:r>
        <w:rPr>
          <w:rFonts w:ascii="Arial" w:cs="Arial" w:eastAsia="Arial" w:hAnsi="Arial"/>
          <w:b/>
          <w:bCs/>
          <w:color w:val="1B2A4A"/>
          <w:sz w:val="36"/>
          <w:szCs w:val="36"/>
        </w:rPr>
        <w:t xml:space="preserve">6.  Calculated Analytics Columns</w:t>
      </w:r>
    </w:p>
    <w:p>
      <w:pPr>
        <w:spacing w:after="120"/>
      </w:pPr>
      <w:r>
        <w:rPr>
          <w:rFonts w:ascii="Arial" w:cs="Arial" w:eastAsia="Arial" w:hAnsi="Arial"/>
          <w:color w:val="1A1A1A"/>
          <w:sz w:val="21"/>
          <w:szCs w:val="21"/>
        </w:rPr>
        <w:t xml:space="preserve">Twelve analytics columns (V through AG) were engineered from the raw dataset to enable the volatility, trend, segmentation, and leading indicator analyses described in this document. All columns are present in the DATASET sheet of the Excel workbook. The FORMULA_GUIDE sheet provides the exact Excel formula for 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3"/>
        <w:gridCol w:w="1985"/>
        <w:gridCol w:w="3339"/>
        <w:gridCol w:w="2437"/>
      </w:tblGrid>
      <w:tr>
        <w:trPr>
          <w:tblHeader/>
        </w:trPr>
        <w:tc>
          <w:tcPr>
            <w:tcW w:type="dxa" w:w="1263"/>
            <w:tcBorders>
              <w:top w:val="single" w:color="DCDCDC" w:sz="4"/>
              <w:left w:val="single" w:color="DCDCDC" w:sz="4"/>
              <w:bottom w:val="single" w:color="DCDCDC" w:sz="4"/>
              <w:right w:val="single" w:color="DCDCDC" w:sz="4"/>
            </w:tcBorders>
            <w:shd w:fill="1B2A4A" w:val="clear"/>
            <w:tcMar>
              <w:top w:type="dxa" w:w="70"/>
              <w:left w:type="dxa" w:w="100"/>
              <w:bottom w:type="dxa" w:w="70"/>
              <w:right w:type="dxa" w:w="100"/>
            </w:tcMar>
          </w:tcPr>
          <w:p>
            <w:r>
              <w:rPr>
                <w:rFonts w:ascii="Arial" w:cs="Arial" w:eastAsia="Arial" w:hAnsi="Arial"/>
                <w:b/>
                <w:bCs/>
                <w:color w:val="FFFFFF"/>
                <w:sz w:val="17"/>
                <w:szCs w:val="17"/>
              </w:rPr>
              <w:t xml:space="preserve">Column</w:t>
            </w:r>
          </w:p>
        </w:tc>
        <w:tc>
          <w:tcPr>
            <w:tcW w:type="dxa" w:w="1985"/>
            <w:tcBorders>
              <w:top w:val="single" w:color="DCDCDC" w:sz="4"/>
              <w:left w:val="single" w:color="DCDCDC" w:sz="4"/>
              <w:bottom w:val="single" w:color="DCDCDC" w:sz="4"/>
              <w:right w:val="single" w:color="DCDCDC" w:sz="4"/>
            </w:tcBorders>
            <w:shd w:fill="1B2A4A" w:val="clear"/>
            <w:tcMar>
              <w:top w:type="dxa" w:w="70"/>
              <w:left w:type="dxa" w:w="100"/>
              <w:bottom w:type="dxa" w:w="70"/>
              <w:right w:type="dxa" w:w="100"/>
            </w:tcMar>
          </w:tcPr>
          <w:p>
            <w:r>
              <w:rPr>
                <w:rFonts w:ascii="Arial" w:cs="Arial" w:eastAsia="Arial" w:hAnsi="Arial"/>
                <w:b/>
                <w:bCs/>
                <w:color w:val="FFFFFF"/>
                <w:sz w:val="17"/>
                <w:szCs w:val="17"/>
              </w:rPr>
              <w:t xml:space="preserve">Name</w:t>
            </w:r>
          </w:p>
        </w:tc>
        <w:tc>
          <w:tcPr>
            <w:tcW w:type="dxa" w:w="3339"/>
            <w:tcBorders>
              <w:top w:val="single" w:color="DCDCDC" w:sz="4"/>
              <w:left w:val="single" w:color="DCDCDC" w:sz="4"/>
              <w:bottom w:val="single" w:color="DCDCDC" w:sz="4"/>
              <w:right w:val="single" w:color="DCDCDC" w:sz="4"/>
            </w:tcBorders>
            <w:shd w:fill="1B2A4A" w:val="clear"/>
            <w:tcMar>
              <w:top w:type="dxa" w:w="70"/>
              <w:left w:type="dxa" w:w="100"/>
              <w:bottom w:type="dxa" w:w="70"/>
              <w:right w:type="dxa" w:w="100"/>
            </w:tcMar>
          </w:tcPr>
          <w:p>
            <w:r>
              <w:rPr>
                <w:rFonts w:ascii="Courier New" w:cs="Courier New" w:eastAsia="Courier New" w:hAnsi="Courier New"/>
                <w:b/>
                <w:bCs/>
                <w:color w:val="FFFFFF"/>
                <w:sz w:val="16"/>
                <w:szCs w:val="16"/>
              </w:rPr>
              <w:t xml:space="preserve">Excel Formula</w:t>
            </w:r>
          </w:p>
        </w:tc>
        <w:tc>
          <w:tcPr>
            <w:tcW w:type="dxa" w:w="2437"/>
            <w:tcBorders>
              <w:top w:val="single" w:color="DCDCDC" w:sz="4"/>
              <w:left w:val="single" w:color="DCDCDC" w:sz="4"/>
              <w:bottom w:val="single" w:color="DCDCDC" w:sz="4"/>
              <w:right w:val="single" w:color="DCDCDC" w:sz="4"/>
            </w:tcBorders>
            <w:shd w:fill="1B2A4A" w:val="clear"/>
            <w:tcMar>
              <w:top w:type="dxa" w:w="70"/>
              <w:left w:type="dxa" w:w="100"/>
              <w:bottom w:type="dxa" w:w="70"/>
              <w:right w:type="dxa" w:w="100"/>
            </w:tcMar>
          </w:tcPr>
          <w:p>
            <w:r>
              <w:rPr>
                <w:rFonts w:ascii="Arial" w:cs="Arial" w:eastAsia="Arial" w:hAnsi="Arial"/>
                <w:b/>
                <w:bCs/>
                <w:color w:val="FFFFFF"/>
                <w:sz w:val="17"/>
                <w:szCs w:val="17"/>
              </w:rPr>
              <w:t xml:space="preserve">Purpose</w:t>
            </w:r>
          </w:p>
        </w:tc>
      </w:tr>
      <w:tr>
        <w:trPr>
          <w:tblHeader w:val="false"/>
        </w:trPr>
        <w:tc>
          <w:tcPr>
            <w:tcW w:type="dxa" w:w="1263"/>
            <w:tcBorders>
              <w:top w:val="single" w:color="DCDCDC" w:sz="4"/>
              <w:left w:val="single" w:color="DCDCDC" w:sz="4"/>
              <w:bottom w:val="single" w:color="DCDCDC" w:sz="4"/>
              <w:right w:val="single" w:color="DCDCDC" w:sz="4"/>
            </w:tcBorders>
            <w:shd w:fill="F4F4F4" w:val="clear"/>
            <w:tcMar>
              <w:top w:type="dxa" w:w="70"/>
              <w:left w:type="dxa" w:w="100"/>
              <w:bottom w:type="dxa" w:w="70"/>
              <w:right w:type="dxa" w:w="100"/>
            </w:tcMar>
          </w:tcPr>
          <w:p>
            <w:r>
              <w:rPr>
                <w:rFonts w:ascii="Arial" w:cs="Arial" w:eastAsia="Arial" w:hAnsi="Arial"/>
                <w:b w:val="false"/>
                <w:bCs w:val="false"/>
                <w:color w:val="1A1A1A"/>
                <w:sz w:val="17"/>
                <w:szCs w:val="17"/>
              </w:rPr>
              <w:t xml:space="preserve">V</w:t>
            </w:r>
          </w:p>
        </w:tc>
        <w:tc>
          <w:tcPr>
            <w:tcW w:type="dxa" w:w="1985"/>
            <w:tcBorders>
              <w:top w:val="single" w:color="DCDCDC" w:sz="4"/>
              <w:left w:val="single" w:color="DCDCDC" w:sz="4"/>
              <w:bottom w:val="single" w:color="DCDCDC" w:sz="4"/>
              <w:right w:val="single" w:color="DCDCDC" w:sz="4"/>
            </w:tcBorders>
            <w:shd w:fill="F4F4F4" w:val="clear"/>
            <w:tcMar>
              <w:top w:type="dxa" w:w="70"/>
              <w:left w:type="dxa" w:w="100"/>
              <w:bottom w:type="dxa" w:w="70"/>
              <w:right w:type="dxa" w:w="100"/>
            </w:tcMar>
          </w:tcPr>
          <w:p>
            <w:r>
              <w:rPr>
                <w:rFonts w:ascii="Arial" w:cs="Arial" w:eastAsia="Arial" w:hAnsi="Arial"/>
                <w:b w:val="false"/>
                <w:bCs w:val="false"/>
                <w:color w:val="1A1A1A"/>
                <w:sz w:val="17"/>
                <w:szCs w:val="17"/>
              </w:rPr>
              <w:t xml:space="preserve">MoM_Change_%</w:t>
            </w:r>
          </w:p>
        </w:tc>
        <w:tc>
          <w:tcPr>
            <w:tcW w:type="dxa" w:w="3339"/>
            <w:tcBorders>
              <w:top w:val="single" w:color="DCDCDC" w:sz="4"/>
              <w:left w:val="single" w:color="DCDCDC" w:sz="4"/>
              <w:bottom w:val="single" w:color="DCDCDC" w:sz="4"/>
              <w:right w:val="single" w:color="DCDCDC" w:sz="4"/>
            </w:tcBorders>
            <w:shd w:fill="F4F4F4" w:val="clear"/>
            <w:tcMar>
              <w:top w:type="dxa" w:w="70"/>
              <w:left w:type="dxa" w:w="100"/>
              <w:bottom w:type="dxa" w:w="70"/>
              <w:right w:type="dxa" w:w="100"/>
            </w:tcMar>
          </w:tcPr>
          <w:p>
            <w:r>
              <w:rPr>
                <w:rFonts w:ascii="Courier New" w:cs="Courier New" w:eastAsia="Courier New" w:hAnsi="Courier New"/>
                <w:b w:val="false"/>
                <w:bCs w:val="false"/>
                <w:color w:val="333333"/>
                <w:sz w:val="16"/>
                <w:szCs w:val="16"/>
              </w:rPr>
              <w:t xml:space="preserve">=(F3-F2)/F2*100</w:t>
            </w:r>
          </w:p>
        </w:tc>
        <w:tc>
          <w:tcPr>
            <w:tcW w:type="dxa" w:w="2437"/>
            <w:tcBorders>
              <w:top w:val="single" w:color="DCDCDC" w:sz="4"/>
              <w:left w:val="single" w:color="DCDCDC" w:sz="4"/>
              <w:bottom w:val="single" w:color="DCDCDC" w:sz="4"/>
              <w:right w:val="single" w:color="DCDCDC" w:sz="4"/>
            </w:tcBorders>
            <w:shd w:fill="F4F4F4" w:val="clear"/>
            <w:tcMar>
              <w:top w:type="dxa" w:w="70"/>
              <w:left w:type="dxa" w:w="100"/>
              <w:bottom w:type="dxa" w:w="70"/>
              <w:right w:type="dxa" w:w="100"/>
            </w:tcMar>
          </w:tcPr>
          <w:p>
            <w:r>
              <w:rPr>
                <w:rFonts w:ascii="Arial" w:cs="Arial" w:eastAsia="Arial" w:hAnsi="Arial"/>
                <w:b w:val="false"/>
                <w:bCs w:val="false"/>
                <w:color w:val="1A1A1A"/>
                <w:sz w:val="17"/>
                <w:szCs w:val="17"/>
              </w:rPr>
              <w:t xml:space="preserve">Month-over-month crude price change %</w:t>
            </w:r>
          </w:p>
        </w:tc>
      </w:tr>
      <w:tr>
        <w:trPr>
          <w:tblHeader w:val="false"/>
        </w:trPr>
        <w:tc>
          <w:tcPr>
            <w:tcW w:type="dxa" w:w="1263"/>
            <w:tcBorders>
              <w:top w:val="single" w:color="DCDCDC" w:sz="4"/>
              <w:left w:val="single" w:color="DCDCDC" w:sz="4"/>
              <w:bottom w:val="single" w:color="DCDCDC" w:sz="4"/>
              <w:right w:val="single" w:color="DCDCDC" w:sz="4"/>
            </w:tcBorders>
            <w:shd w:fill="FFFFFF" w:val="clear"/>
            <w:tcMar>
              <w:top w:type="dxa" w:w="70"/>
              <w:left w:type="dxa" w:w="100"/>
              <w:bottom w:type="dxa" w:w="70"/>
              <w:right w:type="dxa" w:w="100"/>
            </w:tcMar>
          </w:tcPr>
          <w:p>
            <w:r>
              <w:rPr>
                <w:rFonts w:ascii="Arial" w:cs="Arial" w:eastAsia="Arial" w:hAnsi="Arial"/>
                <w:b w:val="false"/>
                <w:bCs w:val="false"/>
                <w:color w:val="1A1A1A"/>
                <w:sz w:val="17"/>
                <w:szCs w:val="17"/>
              </w:rPr>
              <w:t xml:space="preserve">W</w:t>
            </w:r>
          </w:p>
        </w:tc>
        <w:tc>
          <w:tcPr>
            <w:tcW w:type="dxa" w:w="1985"/>
            <w:tcBorders>
              <w:top w:val="single" w:color="DCDCDC" w:sz="4"/>
              <w:left w:val="single" w:color="DCDCDC" w:sz="4"/>
              <w:bottom w:val="single" w:color="DCDCDC" w:sz="4"/>
              <w:right w:val="single" w:color="DCDCDC" w:sz="4"/>
            </w:tcBorders>
            <w:shd w:fill="FFFFFF" w:val="clear"/>
            <w:tcMar>
              <w:top w:type="dxa" w:w="70"/>
              <w:left w:type="dxa" w:w="100"/>
              <w:bottom w:type="dxa" w:w="70"/>
              <w:right w:type="dxa" w:w="100"/>
            </w:tcMar>
          </w:tcPr>
          <w:p>
            <w:r>
              <w:rPr>
                <w:rFonts w:ascii="Arial" w:cs="Arial" w:eastAsia="Arial" w:hAnsi="Arial"/>
                <w:b w:val="false"/>
                <w:bCs w:val="false"/>
                <w:color w:val="1A1A1A"/>
                <w:sz w:val="17"/>
                <w:szCs w:val="17"/>
              </w:rPr>
              <w:t xml:space="preserve">Rolling_Vol_12M</w:t>
            </w:r>
          </w:p>
        </w:tc>
        <w:tc>
          <w:tcPr>
            <w:tcW w:type="dxa" w:w="3339"/>
            <w:tcBorders>
              <w:top w:val="single" w:color="DCDCDC" w:sz="4"/>
              <w:left w:val="single" w:color="DCDCDC" w:sz="4"/>
              <w:bottom w:val="single" w:color="DCDCDC" w:sz="4"/>
              <w:right w:val="single" w:color="DCDCDC" w:sz="4"/>
            </w:tcBorders>
            <w:shd w:fill="FFFFFF" w:val="clear"/>
            <w:tcMar>
              <w:top w:type="dxa" w:w="70"/>
              <w:left w:type="dxa" w:w="100"/>
              <w:bottom w:type="dxa" w:w="70"/>
              <w:right w:type="dxa" w:w="100"/>
            </w:tcMar>
          </w:tcPr>
          <w:p>
            <w:r>
              <w:rPr>
                <w:rFonts w:ascii="Courier New" w:cs="Courier New" w:eastAsia="Courier New" w:hAnsi="Courier New"/>
                <w:b w:val="false"/>
                <w:bCs w:val="false"/>
                <w:color w:val="333333"/>
                <w:sz w:val="16"/>
                <w:szCs w:val="16"/>
              </w:rPr>
              <w:t xml:space="preserve">=STDEV(OFFSET(F3,-11,0,12,1))</w:t>
            </w:r>
          </w:p>
        </w:tc>
        <w:tc>
          <w:tcPr>
            <w:tcW w:type="dxa" w:w="2437"/>
            <w:tcBorders>
              <w:top w:val="single" w:color="DCDCDC" w:sz="4"/>
              <w:left w:val="single" w:color="DCDCDC" w:sz="4"/>
              <w:bottom w:val="single" w:color="DCDCDC" w:sz="4"/>
              <w:right w:val="single" w:color="DCDCDC" w:sz="4"/>
            </w:tcBorders>
            <w:shd w:fill="FFFFFF" w:val="clear"/>
            <w:tcMar>
              <w:top w:type="dxa" w:w="70"/>
              <w:left w:type="dxa" w:w="100"/>
              <w:bottom w:type="dxa" w:w="70"/>
              <w:right w:type="dxa" w:w="100"/>
            </w:tcMar>
          </w:tcPr>
          <w:p>
            <w:r>
              <w:rPr>
                <w:rFonts w:ascii="Arial" w:cs="Arial" w:eastAsia="Arial" w:hAnsi="Arial"/>
                <w:b w:val="false"/>
                <w:bCs w:val="false"/>
                <w:color w:val="1A1A1A"/>
                <w:sz w:val="17"/>
                <w:szCs w:val="17"/>
              </w:rPr>
              <w:t xml:space="preserve">12-month rolling standard deviation</w:t>
            </w:r>
          </w:p>
        </w:tc>
      </w:tr>
      <w:tr>
        <w:trPr>
          <w:tblHeader w:val="false"/>
        </w:trPr>
        <w:tc>
          <w:tcPr>
            <w:tcW w:type="dxa" w:w="1263"/>
            <w:tcBorders>
              <w:top w:val="single" w:color="DCDCDC" w:sz="4"/>
              <w:left w:val="single" w:color="DCDCDC" w:sz="4"/>
              <w:bottom w:val="single" w:color="DCDCDC" w:sz="4"/>
              <w:right w:val="single" w:color="DCDCDC" w:sz="4"/>
            </w:tcBorders>
            <w:shd w:fill="F4F4F4" w:val="clear"/>
            <w:tcMar>
              <w:top w:type="dxa" w:w="70"/>
              <w:left w:type="dxa" w:w="100"/>
              <w:bottom w:type="dxa" w:w="70"/>
              <w:right w:type="dxa" w:w="100"/>
            </w:tcMar>
          </w:tcPr>
          <w:p>
            <w:r>
              <w:rPr>
                <w:rFonts w:ascii="Arial" w:cs="Arial" w:eastAsia="Arial" w:hAnsi="Arial"/>
                <w:b w:val="false"/>
                <w:bCs w:val="false"/>
                <w:color w:val="1A1A1A"/>
                <w:sz w:val="17"/>
                <w:szCs w:val="17"/>
              </w:rPr>
              <w:t xml:space="preserve">X</w:t>
            </w:r>
          </w:p>
        </w:tc>
        <w:tc>
          <w:tcPr>
            <w:tcW w:type="dxa" w:w="1985"/>
            <w:tcBorders>
              <w:top w:val="single" w:color="DCDCDC" w:sz="4"/>
              <w:left w:val="single" w:color="DCDCDC" w:sz="4"/>
              <w:bottom w:val="single" w:color="DCDCDC" w:sz="4"/>
              <w:right w:val="single" w:color="DCDCDC" w:sz="4"/>
            </w:tcBorders>
            <w:shd w:fill="F4F4F4" w:val="clear"/>
            <w:tcMar>
              <w:top w:type="dxa" w:w="70"/>
              <w:left w:type="dxa" w:w="100"/>
              <w:bottom w:type="dxa" w:w="70"/>
              <w:right w:type="dxa" w:w="100"/>
            </w:tcMar>
          </w:tcPr>
          <w:p>
            <w:r>
              <w:rPr>
                <w:rFonts w:ascii="Arial" w:cs="Arial" w:eastAsia="Arial" w:hAnsi="Arial"/>
                <w:b w:val="false"/>
                <w:bCs w:val="false"/>
                <w:color w:val="1A1A1A"/>
                <w:sz w:val="17"/>
                <w:szCs w:val="17"/>
              </w:rPr>
              <w:t xml:space="preserve">YoY_Growth_%</w:t>
            </w:r>
          </w:p>
        </w:tc>
        <w:tc>
          <w:tcPr>
            <w:tcW w:type="dxa" w:w="3339"/>
            <w:tcBorders>
              <w:top w:val="single" w:color="DCDCDC" w:sz="4"/>
              <w:left w:val="single" w:color="DCDCDC" w:sz="4"/>
              <w:bottom w:val="single" w:color="DCDCDC" w:sz="4"/>
              <w:right w:val="single" w:color="DCDCDC" w:sz="4"/>
            </w:tcBorders>
            <w:shd w:fill="F4F4F4" w:val="clear"/>
            <w:tcMar>
              <w:top w:type="dxa" w:w="70"/>
              <w:left w:type="dxa" w:w="100"/>
              <w:bottom w:type="dxa" w:w="70"/>
              <w:right w:type="dxa" w:w="100"/>
            </w:tcMar>
          </w:tcPr>
          <w:p>
            <w:r>
              <w:rPr>
                <w:rFonts w:ascii="Courier New" w:cs="Courier New" w:eastAsia="Courier New" w:hAnsi="Courier New"/>
                <w:b w:val="false"/>
                <w:bCs w:val="false"/>
                <w:color w:val="333333"/>
                <w:sz w:val="16"/>
                <w:szCs w:val="16"/>
              </w:rPr>
              <w:t xml:space="preserve">=(F14-F2)/F2*100</w:t>
            </w:r>
          </w:p>
        </w:tc>
        <w:tc>
          <w:tcPr>
            <w:tcW w:type="dxa" w:w="2437"/>
            <w:tcBorders>
              <w:top w:val="single" w:color="DCDCDC" w:sz="4"/>
              <w:left w:val="single" w:color="DCDCDC" w:sz="4"/>
              <w:bottom w:val="single" w:color="DCDCDC" w:sz="4"/>
              <w:right w:val="single" w:color="DCDCDC" w:sz="4"/>
            </w:tcBorders>
            <w:shd w:fill="F4F4F4" w:val="clear"/>
            <w:tcMar>
              <w:top w:type="dxa" w:w="70"/>
              <w:left w:type="dxa" w:w="100"/>
              <w:bottom w:type="dxa" w:w="70"/>
              <w:right w:type="dxa" w:w="100"/>
            </w:tcMar>
          </w:tcPr>
          <w:p>
            <w:r>
              <w:rPr>
                <w:rFonts w:ascii="Arial" w:cs="Arial" w:eastAsia="Arial" w:hAnsi="Arial"/>
                <w:b w:val="false"/>
                <w:bCs w:val="false"/>
                <w:color w:val="1A1A1A"/>
                <w:sz w:val="17"/>
                <w:szCs w:val="17"/>
              </w:rPr>
              <w:t xml:space="preserve">Year-over-year crude growth (same month, prior year)</w:t>
            </w:r>
          </w:p>
        </w:tc>
      </w:tr>
      <w:tr>
        <w:trPr>
          <w:tblHeader w:val="false"/>
        </w:trPr>
        <w:tc>
          <w:tcPr>
            <w:tcW w:type="dxa" w:w="1263"/>
            <w:tcBorders>
              <w:top w:val="single" w:color="DCDCDC" w:sz="4"/>
              <w:left w:val="single" w:color="DCDCDC" w:sz="4"/>
              <w:bottom w:val="single" w:color="DCDCDC" w:sz="4"/>
              <w:right w:val="single" w:color="DCDCDC" w:sz="4"/>
            </w:tcBorders>
            <w:shd w:fill="FFFFFF" w:val="clear"/>
            <w:tcMar>
              <w:top w:type="dxa" w:w="70"/>
              <w:left w:type="dxa" w:w="100"/>
              <w:bottom w:type="dxa" w:w="70"/>
              <w:right w:type="dxa" w:w="100"/>
            </w:tcMar>
          </w:tcPr>
          <w:p>
            <w:r>
              <w:rPr>
                <w:rFonts w:ascii="Arial" w:cs="Arial" w:eastAsia="Arial" w:hAnsi="Arial"/>
                <w:b w:val="false"/>
                <w:bCs w:val="false"/>
                <w:color w:val="1A1A1A"/>
                <w:sz w:val="17"/>
                <w:szCs w:val="17"/>
              </w:rPr>
              <w:t xml:space="preserve">Y</w:t>
            </w:r>
          </w:p>
        </w:tc>
        <w:tc>
          <w:tcPr>
            <w:tcW w:type="dxa" w:w="1985"/>
            <w:tcBorders>
              <w:top w:val="single" w:color="DCDCDC" w:sz="4"/>
              <w:left w:val="single" w:color="DCDCDC" w:sz="4"/>
              <w:bottom w:val="single" w:color="DCDCDC" w:sz="4"/>
              <w:right w:val="single" w:color="DCDCDC" w:sz="4"/>
            </w:tcBorders>
            <w:shd w:fill="FFFFFF" w:val="clear"/>
            <w:tcMar>
              <w:top w:type="dxa" w:w="70"/>
              <w:left w:type="dxa" w:w="100"/>
              <w:bottom w:type="dxa" w:w="70"/>
              <w:right w:type="dxa" w:w="100"/>
            </w:tcMar>
          </w:tcPr>
          <w:p>
            <w:r>
              <w:rPr>
                <w:rFonts w:ascii="Arial" w:cs="Arial" w:eastAsia="Arial" w:hAnsi="Arial"/>
                <w:b w:val="false"/>
                <w:bCs w:val="false"/>
                <w:color w:val="1A1A1A"/>
                <w:sz w:val="17"/>
                <w:szCs w:val="17"/>
              </w:rPr>
              <w:t xml:space="preserve">MA_3M_Crude</w:t>
            </w:r>
          </w:p>
        </w:tc>
        <w:tc>
          <w:tcPr>
            <w:tcW w:type="dxa" w:w="3339"/>
            <w:tcBorders>
              <w:top w:val="single" w:color="DCDCDC" w:sz="4"/>
              <w:left w:val="single" w:color="DCDCDC" w:sz="4"/>
              <w:bottom w:val="single" w:color="DCDCDC" w:sz="4"/>
              <w:right w:val="single" w:color="DCDCDC" w:sz="4"/>
            </w:tcBorders>
            <w:shd w:fill="FFFFFF" w:val="clear"/>
            <w:tcMar>
              <w:top w:type="dxa" w:w="70"/>
              <w:left w:type="dxa" w:w="100"/>
              <w:bottom w:type="dxa" w:w="70"/>
              <w:right w:type="dxa" w:w="100"/>
            </w:tcMar>
          </w:tcPr>
          <w:p>
            <w:r>
              <w:rPr>
                <w:rFonts w:ascii="Courier New" w:cs="Courier New" w:eastAsia="Courier New" w:hAnsi="Courier New"/>
                <w:b w:val="false"/>
                <w:bCs w:val="false"/>
                <w:color w:val="333333"/>
                <w:sz w:val="16"/>
                <w:szCs w:val="16"/>
              </w:rPr>
              <w:t xml:space="preserve">=AVERAGE(F2:F4)</w:t>
            </w:r>
          </w:p>
        </w:tc>
        <w:tc>
          <w:tcPr>
            <w:tcW w:type="dxa" w:w="2437"/>
            <w:tcBorders>
              <w:top w:val="single" w:color="DCDCDC" w:sz="4"/>
              <w:left w:val="single" w:color="DCDCDC" w:sz="4"/>
              <w:bottom w:val="single" w:color="DCDCDC" w:sz="4"/>
              <w:right w:val="single" w:color="DCDCDC" w:sz="4"/>
            </w:tcBorders>
            <w:shd w:fill="FFFFFF" w:val="clear"/>
            <w:tcMar>
              <w:top w:type="dxa" w:w="70"/>
              <w:left w:type="dxa" w:w="100"/>
              <w:bottom w:type="dxa" w:w="70"/>
              <w:right w:type="dxa" w:w="100"/>
            </w:tcMar>
          </w:tcPr>
          <w:p>
            <w:r>
              <w:rPr>
                <w:rFonts w:ascii="Arial" w:cs="Arial" w:eastAsia="Arial" w:hAnsi="Arial"/>
                <w:b w:val="false"/>
                <w:bCs w:val="false"/>
                <w:color w:val="1A1A1A"/>
                <w:sz w:val="17"/>
                <w:szCs w:val="17"/>
              </w:rPr>
              <w:t xml:space="preserve">3-month moving average of crude price</w:t>
            </w:r>
          </w:p>
        </w:tc>
      </w:tr>
      <w:tr>
        <w:trPr>
          <w:tblHeader w:val="false"/>
        </w:trPr>
        <w:tc>
          <w:tcPr>
            <w:tcW w:type="dxa" w:w="1263"/>
            <w:tcBorders>
              <w:top w:val="single" w:color="DCDCDC" w:sz="4"/>
              <w:left w:val="single" w:color="DCDCDC" w:sz="4"/>
              <w:bottom w:val="single" w:color="DCDCDC" w:sz="4"/>
              <w:right w:val="single" w:color="DCDCDC" w:sz="4"/>
            </w:tcBorders>
            <w:shd w:fill="F4F4F4" w:val="clear"/>
            <w:tcMar>
              <w:top w:type="dxa" w:w="70"/>
              <w:left w:type="dxa" w:w="100"/>
              <w:bottom w:type="dxa" w:w="70"/>
              <w:right w:type="dxa" w:w="100"/>
            </w:tcMar>
          </w:tcPr>
          <w:p>
            <w:r>
              <w:rPr>
                <w:rFonts w:ascii="Arial" w:cs="Arial" w:eastAsia="Arial" w:hAnsi="Arial"/>
                <w:b w:val="false"/>
                <w:bCs w:val="false"/>
                <w:color w:val="1A1A1A"/>
                <w:sz w:val="17"/>
                <w:szCs w:val="17"/>
              </w:rPr>
              <w:t xml:space="preserve">Z</w:t>
            </w:r>
          </w:p>
        </w:tc>
        <w:tc>
          <w:tcPr>
            <w:tcW w:type="dxa" w:w="1985"/>
            <w:tcBorders>
              <w:top w:val="single" w:color="DCDCDC" w:sz="4"/>
              <w:left w:val="single" w:color="DCDCDC" w:sz="4"/>
              <w:bottom w:val="single" w:color="DCDCDC" w:sz="4"/>
              <w:right w:val="single" w:color="DCDCDC" w:sz="4"/>
            </w:tcBorders>
            <w:shd w:fill="F4F4F4" w:val="clear"/>
            <w:tcMar>
              <w:top w:type="dxa" w:w="70"/>
              <w:left w:type="dxa" w:w="100"/>
              <w:bottom w:type="dxa" w:w="70"/>
              <w:right w:type="dxa" w:w="100"/>
            </w:tcMar>
          </w:tcPr>
          <w:p>
            <w:r>
              <w:rPr>
                <w:rFonts w:ascii="Arial" w:cs="Arial" w:eastAsia="Arial" w:hAnsi="Arial"/>
                <w:b w:val="false"/>
                <w:bCs w:val="false"/>
                <w:color w:val="1A1A1A"/>
                <w:sz w:val="17"/>
                <w:szCs w:val="17"/>
              </w:rPr>
              <w:t xml:space="preserve">Price_Shock_Flag</w:t>
            </w:r>
          </w:p>
        </w:tc>
        <w:tc>
          <w:tcPr>
            <w:tcW w:type="dxa" w:w="3339"/>
            <w:tcBorders>
              <w:top w:val="single" w:color="DCDCDC" w:sz="4"/>
              <w:left w:val="single" w:color="DCDCDC" w:sz="4"/>
              <w:bottom w:val="single" w:color="DCDCDC" w:sz="4"/>
              <w:right w:val="single" w:color="DCDCDC" w:sz="4"/>
            </w:tcBorders>
            <w:shd w:fill="F4F4F4" w:val="clear"/>
            <w:tcMar>
              <w:top w:type="dxa" w:w="70"/>
              <w:left w:type="dxa" w:w="100"/>
              <w:bottom w:type="dxa" w:w="70"/>
              <w:right w:type="dxa" w:w="100"/>
            </w:tcMar>
          </w:tcPr>
          <w:p>
            <w:r>
              <w:rPr>
                <w:rFonts w:ascii="Courier New" w:cs="Courier New" w:eastAsia="Courier New" w:hAnsi="Courier New"/>
                <w:b w:val="false"/>
                <w:bCs w:val="false"/>
                <w:color w:val="333333"/>
                <w:sz w:val="16"/>
                <w:szCs w:val="16"/>
              </w:rPr>
              <w:t xml:space="preserve">=IF(ABS(V2)&gt;=15,"Shock","Normal")</w:t>
            </w:r>
          </w:p>
        </w:tc>
        <w:tc>
          <w:tcPr>
            <w:tcW w:type="dxa" w:w="2437"/>
            <w:tcBorders>
              <w:top w:val="single" w:color="DCDCDC" w:sz="4"/>
              <w:left w:val="single" w:color="DCDCDC" w:sz="4"/>
              <w:bottom w:val="single" w:color="DCDCDC" w:sz="4"/>
              <w:right w:val="single" w:color="DCDCDC" w:sz="4"/>
            </w:tcBorders>
            <w:shd w:fill="F4F4F4" w:val="clear"/>
            <w:tcMar>
              <w:top w:type="dxa" w:w="70"/>
              <w:left w:type="dxa" w:w="100"/>
              <w:bottom w:type="dxa" w:w="70"/>
              <w:right w:type="dxa" w:w="100"/>
            </w:tcMar>
          </w:tcPr>
          <w:p>
            <w:r>
              <w:rPr>
                <w:rFonts w:ascii="Arial" w:cs="Arial" w:eastAsia="Arial" w:hAnsi="Arial"/>
                <w:b w:val="false"/>
                <w:bCs w:val="false"/>
                <w:color w:val="1A1A1A"/>
                <w:sz w:val="17"/>
                <w:szCs w:val="17"/>
              </w:rPr>
              <w:t xml:space="preserve">Binary flag for ≥15% MoM price moves</w:t>
            </w:r>
          </w:p>
        </w:tc>
      </w:tr>
      <w:tr>
        <w:trPr>
          <w:tblHeader w:val="false"/>
        </w:trPr>
        <w:tc>
          <w:tcPr>
            <w:tcW w:type="dxa" w:w="1263"/>
            <w:tcBorders>
              <w:top w:val="single" w:color="DCDCDC" w:sz="4"/>
              <w:left w:val="single" w:color="DCDCDC" w:sz="4"/>
              <w:bottom w:val="single" w:color="DCDCDC" w:sz="4"/>
              <w:right w:val="single" w:color="DCDCDC" w:sz="4"/>
            </w:tcBorders>
            <w:shd w:fill="FFFFFF" w:val="clear"/>
            <w:tcMar>
              <w:top w:type="dxa" w:w="70"/>
              <w:left w:type="dxa" w:w="100"/>
              <w:bottom w:type="dxa" w:w="70"/>
              <w:right w:type="dxa" w:w="100"/>
            </w:tcMar>
          </w:tcPr>
          <w:p>
            <w:r>
              <w:rPr>
                <w:rFonts w:ascii="Arial" w:cs="Arial" w:eastAsia="Arial" w:hAnsi="Arial"/>
                <w:b w:val="false"/>
                <w:bCs w:val="false"/>
                <w:color w:val="1A1A1A"/>
                <w:sz w:val="17"/>
                <w:szCs w:val="17"/>
              </w:rPr>
              <w:t xml:space="preserve">AA</w:t>
            </w:r>
          </w:p>
        </w:tc>
        <w:tc>
          <w:tcPr>
            <w:tcW w:type="dxa" w:w="1985"/>
            <w:tcBorders>
              <w:top w:val="single" w:color="DCDCDC" w:sz="4"/>
              <w:left w:val="single" w:color="DCDCDC" w:sz="4"/>
              <w:bottom w:val="single" w:color="DCDCDC" w:sz="4"/>
              <w:right w:val="single" w:color="DCDCDC" w:sz="4"/>
            </w:tcBorders>
            <w:shd w:fill="FFFFFF" w:val="clear"/>
            <w:tcMar>
              <w:top w:type="dxa" w:w="70"/>
              <w:left w:type="dxa" w:w="100"/>
              <w:bottom w:type="dxa" w:w="70"/>
              <w:right w:type="dxa" w:w="100"/>
            </w:tcMar>
          </w:tcPr>
          <w:p>
            <w:r>
              <w:rPr>
                <w:rFonts w:ascii="Arial" w:cs="Arial" w:eastAsia="Arial" w:hAnsi="Arial"/>
                <w:b w:val="false"/>
                <w:bCs w:val="false"/>
                <w:color w:val="1A1A1A"/>
                <w:sz w:val="17"/>
                <w:szCs w:val="17"/>
              </w:rPr>
              <w:t xml:space="preserve">Era_Label</w:t>
            </w:r>
          </w:p>
        </w:tc>
        <w:tc>
          <w:tcPr>
            <w:tcW w:type="dxa" w:w="3339"/>
            <w:tcBorders>
              <w:top w:val="single" w:color="DCDCDC" w:sz="4"/>
              <w:left w:val="single" w:color="DCDCDC" w:sz="4"/>
              <w:bottom w:val="single" w:color="DCDCDC" w:sz="4"/>
              <w:right w:val="single" w:color="DCDCDC" w:sz="4"/>
            </w:tcBorders>
            <w:shd w:fill="FFFFFF" w:val="clear"/>
            <w:tcMar>
              <w:top w:type="dxa" w:w="70"/>
              <w:left w:type="dxa" w:w="100"/>
              <w:bottom w:type="dxa" w:w="70"/>
              <w:right w:type="dxa" w:w="100"/>
            </w:tcMar>
          </w:tcPr>
          <w:p>
            <w:r>
              <w:rPr>
                <w:rFonts w:ascii="Courier New" w:cs="Courier New" w:eastAsia="Courier New" w:hAnsi="Courier New"/>
                <w:b w:val="false"/>
                <w:bCs w:val="false"/>
                <w:color w:val="333333"/>
                <w:sz w:val="16"/>
                <w:szCs w:val="16"/>
              </w:rPr>
              <w:t xml:space="preserve">=D2&amp;" - "&amp;M2</w:t>
            </w:r>
          </w:p>
        </w:tc>
        <w:tc>
          <w:tcPr>
            <w:tcW w:type="dxa" w:w="2437"/>
            <w:tcBorders>
              <w:top w:val="single" w:color="DCDCDC" w:sz="4"/>
              <w:left w:val="single" w:color="DCDCDC" w:sz="4"/>
              <w:bottom w:val="single" w:color="DCDCDC" w:sz="4"/>
              <w:right w:val="single" w:color="DCDCDC" w:sz="4"/>
            </w:tcBorders>
            <w:shd w:fill="FFFFFF" w:val="clear"/>
            <w:tcMar>
              <w:top w:type="dxa" w:w="70"/>
              <w:left w:type="dxa" w:w="100"/>
              <w:bottom w:type="dxa" w:w="70"/>
              <w:right w:type="dxa" w:w="100"/>
            </w:tcMar>
          </w:tcPr>
          <w:p>
            <w:r>
              <w:rPr>
                <w:rFonts w:ascii="Arial" w:cs="Arial" w:eastAsia="Arial" w:hAnsi="Arial"/>
                <w:b w:val="false"/>
                <w:bCs w:val="false"/>
                <w:color w:val="1A1A1A"/>
                <w:sz w:val="17"/>
                <w:szCs w:val="17"/>
              </w:rPr>
              <w:t xml:space="preserve">Decade + Price Regime combined label</w:t>
            </w:r>
          </w:p>
        </w:tc>
      </w:tr>
      <w:tr>
        <w:trPr>
          <w:tblHeader w:val="false"/>
        </w:trPr>
        <w:tc>
          <w:tcPr>
            <w:tcW w:type="dxa" w:w="1263"/>
            <w:tcBorders>
              <w:top w:val="single" w:color="DCDCDC" w:sz="4"/>
              <w:left w:val="single" w:color="DCDCDC" w:sz="4"/>
              <w:bottom w:val="single" w:color="DCDCDC" w:sz="4"/>
              <w:right w:val="single" w:color="DCDCDC" w:sz="4"/>
            </w:tcBorders>
            <w:shd w:fill="F4F4F4" w:val="clear"/>
            <w:tcMar>
              <w:top w:type="dxa" w:w="70"/>
              <w:left w:type="dxa" w:w="100"/>
              <w:bottom w:type="dxa" w:w="70"/>
              <w:right w:type="dxa" w:w="100"/>
            </w:tcMar>
          </w:tcPr>
          <w:p>
            <w:r>
              <w:rPr>
                <w:rFonts w:ascii="Arial" w:cs="Arial" w:eastAsia="Arial" w:hAnsi="Arial"/>
                <w:b w:val="false"/>
                <w:bCs w:val="false"/>
                <w:color w:val="1A1A1A"/>
                <w:sz w:val="17"/>
                <w:szCs w:val="17"/>
              </w:rPr>
              <w:t xml:space="preserve">AB</w:t>
            </w:r>
          </w:p>
        </w:tc>
        <w:tc>
          <w:tcPr>
            <w:tcW w:type="dxa" w:w="1985"/>
            <w:tcBorders>
              <w:top w:val="single" w:color="DCDCDC" w:sz="4"/>
              <w:left w:val="single" w:color="DCDCDC" w:sz="4"/>
              <w:bottom w:val="single" w:color="DCDCDC" w:sz="4"/>
              <w:right w:val="single" w:color="DCDCDC" w:sz="4"/>
            </w:tcBorders>
            <w:shd w:fill="F4F4F4" w:val="clear"/>
            <w:tcMar>
              <w:top w:type="dxa" w:w="70"/>
              <w:left w:type="dxa" w:w="100"/>
              <w:bottom w:type="dxa" w:w="70"/>
              <w:right w:type="dxa" w:w="100"/>
            </w:tcMar>
          </w:tcPr>
          <w:p>
            <w:r>
              <w:rPr>
                <w:rFonts w:ascii="Arial" w:cs="Arial" w:eastAsia="Arial" w:hAnsi="Arial"/>
                <w:b w:val="false"/>
                <w:bCs w:val="false"/>
                <w:color w:val="1A1A1A"/>
                <w:sz w:val="17"/>
                <w:szCs w:val="17"/>
              </w:rPr>
              <w:t xml:space="preserve">P_vs_D_Spread_%</w:t>
            </w:r>
          </w:p>
        </w:tc>
        <w:tc>
          <w:tcPr>
            <w:tcW w:type="dxa" w:w="3339"/>
            <w:tcBorders>
              <w:top w:val="single" w:color="DCDCDC" w:sz="4"/>
              <w:left w:val="single" w:color="DCDCDC" w:sz="4"/>
              <w:bottom w:val="single" w:color="DCDCDC" w:sz="4"/>
              <w:right w:val="single" w:color="DCDCDC" w:sz="4"/>
            </w:tcBorders>
            <w:shd w:fill="F4F4F4" w:val="clear"/>
            <w:tcMar>
              <w:top w:type="dxa" w:w="70"/>
              <w:left w:type="dxa" w:w="100"/>
              <w:bottom w:type="dxa" w:w="70"/>
              <w:right w:type="dxa" w:w="100"/>
            </w:tcMar>
          </w:tcPr>
          <w:p>
            <w:r>
              <w:rPr>
                <w:rFonts w:ascii="Courier New" w:cs="Courier New" w:eastAsia="Courier New" w:hAnsi="Courier New"/>
                <w:b w:val="false"/>
                <w:bCs w:val="false"/>
                <w:color w:val="333333"/>
                <w:sz w:val="16"/>
                <w:szCs w:val="16"/>
              </w:rPr>
              <w:t xml:space="preserve">=(I2-J2)/J2*100</w:t>
            </w:r>
          </w:p>
        </w:tc>
        <w:tc>
          <w:tcPr>
            <w:tcW w:type="dxa" w:w="2437"/>
            <w:tcBorders>
              <w:top w:val="single" w:color="DCDCDC" w:sz="4"/>
              <w:left w:val="single" w:color="DCDCDC" w:sz="4"/>
              <w:bottom w:val="single" w:color="DCDCDC" w:sz="4"/>
              <w:right w:val="single" w:color="DCDCDC" w:sz="4"/>
            </w:tcBorders>
            <w:shd w:fill="F4F4F4" w:val="clear"/>
            <w:tcMar>
              <w:top w:type="dxa" w:w="70"/>
              <w:left w:type="dxa" w:w="100"/>
              <w:bottom w:type="dxa" w:w="70"/>
              <w:right w:type="dxa" w:w="100"/>
            </w:tcMar>
          </w:tcPr>
          <w:p>
            <w:r>
              <w:rPr>
                <w:rFonts w:ascii="Arial" w:cs="Arial" w:eastAsia="Arial" w:hAnsi="Arial"/>
                <w:b w:val="false"/>
                <w:bCs w:val="false"/>
                <w:color w:val="1A1A1A"/>
                <w:sz w:val="17"/>
                <w:szCs w:val="17"/>
              </w:rPr>
              <w:t xml:space="preserve">Petrol vs diesel price premium %</w:t>
            </w:r>
          </w:p>
        </w:tc>
      </w:tr>
      <w:tr>
        <w:trPr>
          <w:tblHeader w:val="false"/>
        </w:trPr>
        <w:tc>
          <w:tcPr>
            <w:tcW w:type="dxa" w:w="1263"/>
            <w:tcBorders>
              <w:top w:val="single" w:color="DCDCDC" w:sz="4"/>
              <w:left w:val="single" w:color="DCDCDC" w:sz="4"/>
              <w:bottom w:val="single" w:color="DCDCDC" w:sz="4"/>
              <w:right w:val="single" w:color="DCDCDC" w:sz="4"/>
            </w:tcBorders>
            <w:shd w:fill="FFFFFF" w:val="clear"/>
            <w:tcMar>
              <w:top w:type="dxa" w:w="70"/>
              <w:left w:type="dxa" w:w="100"/>
              <w:bottom w:type="dxa" w:w="70"/>
              <w:right w:type="dxa" w:w="100"/>
            </w:tcMar>
          </w:tcPr>
          <w:p>
            <w:r>
              <w:rPr>
                <w:rFonts w:ascii="Arial" w:cs="Arial" w:eastAsia="Arial" w:hAnsi="Arial"/>
                <w:b w:val="false"/>
                <w:bCs w:val="false"/>
                <w:color w:val="1A1A1A"/>
                <w:sz w:val="17"/>
                <w:szCs w:val="17"/>
              </w:rPr>
              <w:t xml:space="preserve">AC</w:t>
            </w:r>
          </w:p>
        </w:tc>
        <w:tc>
          <w:tcPr>
            <w:tcW w:type="dxa" w:w="1985"/>
            <w:tcBorders>
              <w:top w:val="single" w:color="DCDCDC" w:sz="4"/>
              <w:left w:val="single" w:color="DCDCDC" w:sz="4"/>
              <w:bottom w:val="single" w:color="DCDCDC" w:sz="4"/>
              <w:right w:val="single" w:color="DCDCDC" w:sz="4"/>
            </w:tcBorders>
            <w:shd w:fill="FFFFFF" w:val="clear"/>
            <w:tcMar>
              <w:top w:type="dxa" w:w="70"/>
              <w:left w:type="dxa" w:w="100"/>
              <w:bottom w:type="dxa" w:w="70"/>
              <w:right w:type="dxa" w:w="100"/>
            </w:tcMar>
          </w:tcPr>
          <w:p>
            <w:r>
              <w:rPr>
                <w:rFonts w:ascii="Arial" w:cs="Arial" w:eastAsia="Arial" w:hAnsi="Arial"/>
                <w:b w:val="false"/>
                <w:bCs w:val="false"/>
                <w:color w:val="1A1A1A"/>
                <w:sz w:val="17"/>
                <w:szCs w:val="17"/>
              </w:rPr>
              <w:t xml:space="preserve">DS_Ratio</w:t>
            </w:r>
          </w:p>
        </w:tc>
        <w:tc>
          <w:tcPr>
            <w:tcW w:type="dxa" w:w="3339"/>
            <w:tcBorders>
              <w:top w:val="single" w:color="DCDCDC" w:sz="4"/>
              <w:left w:val="single" w:color="DCDCDC" w:sz="4"/>
              <w:bottom w:val="single" w:color="DCDCDC" w:sz="4"/>
              <w:right w:val="single" w:color="DCDCDC" w:sz="4"/>
            </w:tcBorders>
            <w:shd w:fill="FFFFFF" w:val="clear"/>
            <w:tcMar>
              <w:top w:type="dxa" w:w="70"/>
              <w:left w:type="dxa" w:w="100"/>
              <w:bottom w:type="dxa" w:w="70"/>
              <w:right w:type="dxa" w:w="100"/>
            </w:tcMar>
          </w:tcPr>
          <w:p>
            <w:r>
              <w:rPr>
                <w:rFonts w:ascii="Courier New" w:cs="Courier New" w:eastAsia="Courier New" w:hAnsi="Courier New"/>
                <w:b w:val="false"/>
                <w:bCs w:val="false"/>
                <w:color w:val="333333"/>
                <w:sz w:val="16"/>
                <w:szCs w:val="16"/>
              </w:rPr>
              <w:t xml:space="preserve">=K2/L2</w:t>
            </w:r>
          </w:p>
        </w:tc>
        <w:tc>
          <w:tcPr>
            <w:tcW w:type="dxa" w:w="2437"/>
            <w:tcBorders>
              <w:top w:val="single" w:color="DCDCDC" w:sz="4"/>
              <w:left w:val="single" w:color="DCDCDC" w:sz="4"/>
              <w:bottom w:val="single" w:color="DCDCDC" w:sz="4"/>
              <w:right w:val="single" w:color="DCDCDC" w:sz="4"/>
            </w:tcBorders>
            <w:shd w:fill="FFFFFF" w:val="clear"/>
            <w:tcMar>
              <w:top w:type="dxa" w:w="70"/>
              <w:left w:type="dxa" w:w="100"/>
              <w:bottom w:type="dxa" w:w="70"/>
              <w:right w:type="dxa" w:w="100"/>
            </w:tcMar>
          </w:tcPr>
          <w:p>
            <w:r>
              <w:rPr>
                <w:rFonts w:ascii="Arial" w:cs="Arial" w:eastAsia="Arial" w:hAnsi="Arial"/>
                <w:b w:val="false"/>
                <w:bCs w:val="false"/>
                <w:color w:val="1A1A1A"/>
                <w:sz w:val="17"/>
                <w:szCs w:val="17"/>
              </w:rPr>
              <w:t xml:space="preserve">Demand/Supply ratio — leading indicator</w:t>
            </w:r>
          </w:p>
        </w:tc>
      </w:tr>
      <w:tr>
        <w:trPr>
          <w:tblHeader w:val="false"/>
        </w:trPr>
        <w:tc>
          <w:tcPr>
            <w:tcW w:type="dxa" w:w="1263"/>
            <w:tcBorders>
              <w:top w:val="single" w:color="DCDCDC" w:sz="4"/>
              <w:left w:val="single" w:color="DCDCDC" w:sz="4"/>
              <w:bottom w:val="single" w:color="DCDCDC" w:sz="4"/>
              <w:right w:val="single" w:color="DCDCDC" w:sz="4"/>
            </w:tcBorders>
            <w:shd w:fill="F4F4F4" w:val="clear"/>
            <w:tcMar>
              <w:top w:type="dxa" w:w="70"/>
              <w:left w:type="dxa" w:w="100"/>
              <w:bottom w:type="dxa" w:w="70"/>
              <w:right w:type="dxa" w:w="100"/>
            </w:tcMar>
          </w:tcPr>
          <w:p>
            <w:r>
              <w:rPr>
                <w:rFonts w:ascii="Arial" w:cs="Arial" w:eastAsia="Arial" w:hAnsi="Arial"/>
                <w:b w:val="false"/>
                <w:bCs w:val="false"/>
                <w:color w:val="1A1A1A"/>
                <w:sz w:val="17"/>
                <w:szCs w:val="17"/>
              </w:rPr>
              <w:t xml:space="preserve">AD</w:t>
            </w:r>
          </w:p>
        </w:tc>
        <w:tc>
          <w:tcPr>
            <w:tcW w:type="dxa" w:w="1985"/>
            <w:tcBorders>
              <w:top w:val="single" w:color="DCDCDC" w:sz="4"/>
              <w:left w:val="single" w:color="DCDCDC" w:sz="4"/>
              <w:bottom w:val="single" w:color="DCDCDC" w:sz="4"/>
              <w:right w:val="single" w:color="DCDCDC" w:sz="4"/>
            </w:tcBorders>
            <w:shd w:fill="F4F4F4" w:val="clear"/>
            <w:tcMar>
              <w:top w:type="dxa" w:w="70"/>
              <w:left w:type="dxa" w:w="100"/>
              <w:bottom w:type="dxa" w:w="70"/>
              <w:right w:type="dxa" w:w="100"/>
            </w:tcMar>
          </w:tcPr>
          <w:p>
            <w:r>
              <w:rPr>
                <w:rFonts w:ascii="Arial" w:cs="Arial" w:eastAsia="Arial" w:hAnsi="Arial"/>
                <w:b w:val="false"/>
                <w:bCs w:val="false"/>
                <w:color w:val="1A1A1A"/>
                <w:sz w:val="17"/>
                <w:szCs w:val="17"/>
              </w:rPr>
              <w:t xml:space="preserve">Crude_Index_1970</w:t>
            </w:r>
          </w:p>
        </w:tc>
        <w:tc>
          <w:tcPr>
            <w:tcW w:type="dxa" w:w="3339"/>
            <w:tcBorders>
              <w:top w:val="single" w:color="DCDCDC" w:sz="4"/>
              <w:left w:val="single" w:color="DCDCDC" w:sz="4"/>
              <w:bottom w:val="single" w:color="DCDCDC" w:sz="4"/>
              <w:right w:val="single" w:color="DCDCDC" w:sz="4"/>
            </w:tcBorders>
            <w:shd w:fill="F4F4F4" w:val="clear"/>
            <w:tcMar>
              <w:top w:type="dxa" w:w="70"/>
              <w:left w:type="dxa" w:w="100"/>
              <w:bottom w:type="dxa" w:w="70"/>
              <w:right w:type="dxa" w:w="100"/>
            </w:tcMar>
          </w:tcPr>
          <w:p>
            <w:r>
              <w:rPr>
                <w:rFonts w:ascii="Courier New" w:cs="Courier New" w:eastAsia="Courier New" w:hAnsi="Courier New"/>
                <w:b w:val="false"/>
                <w:bCs w:val="false"/>
                <w:color w:val="333333"/>
                <w:sz w:val="16"/>
                <w:szCs w:val="16"/>
              </w:rPr>
              <w:t xml:space="preserve">=F2/$F$2*100</w:t>
            </w:r>
          </w:p>
        </w:tc>
        <w:tc>
          <w:tcPr>
            <w:tcW w:type="dxa" w:w="2437"/>
            <w:tcBorders>
              <w:top w:val="single" w:color="DCDCDC" w:sz="4"/>
              <w:left w:val="single" w:color="DCDCDC" w:sz="4"/>
              <w:bottom w:val="single" w:color="DCDCDC" w:sz="4"/>
              <w:right w:val="single" w:color="DCDCDC" w:sz="4"/>
            </w:tcBorders>
            <w:shd w:fill="F4F4F4" w:val="clear"/>
            <w:tcMar>
              <w:top w:type="dxa" w:w="70"/>
              <w:left w:type="dxa" w:w="100"/>
              <w:bottom w:type="dxa" w:w="70"/>
              <w:right w:type="dxa" w:w="100"/>
            </w:tcMar>
          </w:tcPr>
          <w:p>
            <w:r>
              <w:rPr>
                <w:rFonts w:ascii="Arial" w:cs="Arial" w:eastAsia="Arial" w:hAnsi="Arial"/>
                <w:b w:val="false"/>
                <w:bCs w:val="false"/>
                <w:color w:val="1A1A1A"/>
                <w:sz w:val="17"/>
                <w:szCs w:val="17"/>
              </w:rPr>
              <w:t xml:space="preserve">Crude indexed to Jan 1970 base = 100</w:t>
            </w:r>
          </w:p>
        </w:tc>
      </w:tr>
      <w:tr>
        <w:trPr>
          <w:tblHeader w:val="false"/>
        </w:trPr>
        <w:tc>
          <w:tcPr>
            <w:tcW w:type="dxa" w:w="1263"/>
            <w:tcBorders>
              <w:top w:val="single" w:color="DCDCDC" w:sz="4"/>
              <w:left w:val="single" w:color="DCDCDC" w:sz="4"/>
              <w:bottom w:val="single" w:color="DCDCDC" w:sz="4"/>
              <w:right w:val="single" w:color="DCDCDC" w:sz="4"/>
            </w:tcBorders>
            <w:shd w:fill="FFFFFF" w:val="clear"/>
            <w:tcMar>
              <w:top w:type="dxa" w:w="70"/>
              <w:left w:type="dxa" w:w="100"/>
              <w:bottom w:type="dxa" w:w="70"/>
              <w:right w:type="dxa" w:w="100"/>
            </w:tcMar>
          </w:tcPr>
          <w:p>
            <w:r>
              <w:rPr>
                <w:rFonts w:ascii="Arial" w:cs="Arial" w:eastAsia="Arial" w:hAnsi="Arial"/>
                <w:b w:val="false"/>
                <w:bCs w:val="false"/>
                <w:color w:val="1A1A1A"/>
                <w:sz w:val="17"/>
                <w:szCs w:val="17"/>
              </w:rPr>
              <w:t xml:space="preserve">AE</w:t>
            </w:r>
          </w:p>
        </w:tc>
        <w:tc>
          <w:tcPr>
            <w:tcW w:type="dxa" w:w="1985"/>
            <w:tcBorders>
              <w:top w:val="single" w:color="DCDCDC" w:sz="4"/>
              <w:left w:val="single" w:color="DCDCDC" w:sz="4"/>
              <w:bottom w:val="single" w:color="DCDCDC" w:sz="4"/>
              <w:right w:val="single" w:color="DCDCDC" w:sz="4"/>
            </w:tcBorders>
            <w:shd w:fill="FFFFFF" w:val="clear"/>
            <w:tcMar>
              <w:top w:type="dxa" w:w="70"/>
              <w:left w:type="dxa" w:w="100"/>
              <w:bottom w:type="dxa" w:w="70"/>
              <w:right w:type="dxa" w:w="100"/>
            </w:tcMar>
          </w:tcPr>
          <w:p>
            <w:r>
              <w:rPr>
                <w:rFonts w:ascii="Arial" w:cs="Arial" w:eastAsia="Arial" w:hAnsi="Arial"/>
                <w:b w:val="false"/>
                <w:bCs w:val="false"/>
                <w:color w:val="1A1A1A"/>
                <w:sz w:val="17"/>
                <w:szCs w:val="17"/>
              </w:rPr>
              <w:t xml:space="preserve">Regional_Premium_%</w:t>
            </w:r>
          </w:p>
        </w:tc>
        <w:tc>
          <w:tcPr>
            <w:tcW w:type="dxa" w:w="3339"/>
            <w:tcBorders>
              <w:top w:val="single" w:color="DCDCDC" w:sz="4"/>
              <w:left w:val="single" w:color="DCDCDC" w:sz="4"/>
              <w:bottom w:val="single" w:color="DCDCDC" w:sz="4"/>
              <w:right w:val="single" w:color="DCDCDC" w:sz="4"/>
            </w:tcBorders>
            <w:shd w:fill="FFFFFF" w:val="clear"/>
            <w:tcMar>
              <w:top w:type="dxa" w:w="70"/>
              <w:left w:type="dxa" w:w="100"/>
              <w:bottom w:type="dxa" w:w="70"/>
              <w:right w:type="dxa" w:w="100"/>
            </w:tcMar>
          </w:tcPr>
          <w:p>
            <w:r>
              <w:rPr>
                <w:rFonts w:ascii="Courier New" w:cs="Courier New" w:eastAsia="Courier New" w:hAnsi="Courier New"/>
                <w:b w:val="false"/>
                <w:bCs w:val="false"/>
                <w:color w:val="333333"/>
                <w:sz w:val="16"/>
                <w:szCs w:val="16"/>
              </w:rPr>
              <w:t xml:space="preserve">=(G2-I2)/I2*100</w:t>
            </w:r>
          </w:p>
        </w:tc>
        <w:tc>
          <w:tcPr>
            <w:tcW w:type="dxa" w:w="2437"/>
            <w:tcBorders>
              <w:top w:val="single" w:color="DCDCDC" w:sz="4"/>
              <w:left w:val="single" w:color="DCDCDC" w:sz="4"/>
              <w:bottom w:val="single" w:color="DCDCDC" w:sz="4"/>
              <w:right w:val="single" w:color="DCDCDC" w:sz="4"/>
            </w:tcBorders>
            <w:shd w:fill="FFFFFF" w:val="clear"/>
            <w:tcMar>
              <w:top w:type="dxa" w:w="70"/>
              <w:left w:type="dxa" w:w="100"/>
              <w:bottom w:type="dxa" w:w="70"/>
              <w:right w:type="dxa" w:w="100"/>
            </w:tcMar>
          </w:tcPr>
          <w:p>
            <w:r>
              <w:rPr>
                <w:rFonts w:ascii="Arial" w:cs="Arial" w:eastAsia="Arial" w:hAnsi="Arial"/>
                <w:b w:val="false"/>
                <w:bCs w:val="false"/>
                <w:color w:val="1A1A1A"/>
                <w:sz w:val="17"/>
                <w:szCs w:val="17"/>
              </w:rPr>
              <w:t xml:space="preserve">Regional petrol vs global price premium %</w:t>
            </w:r>
          </w:p>
        </w:tc>
      </w:tr>
      <w:tr>
        <w:trPr>
          <w:tblHeader w:val="false"/>
        </w:trPr>
        <w:tc>
          <w:tcPr>
            <w:tcW w:type="dxa" w:w="1263"/>
            <w:tcBorders>
              <w:top w:val="single" w:color="DCDCDC" w:sz="4"/>
              <w:left w:val="single" w:color="DCDCDC" w:sz="4"/>
              <w:bottom w:val="single" w:color="DCDCDC" w:sz="4"/>
              <w:right w:val="single" w:color="DCDCDC" w:sz="4"/>
            </w:tcBorders>
            <w:shd w:fill="F4F4F4" w:val="clear"/>
            <w:tcMar>
              <w:top w:type="dxa" w:w="70"/>
              <w:left w:type="dxa" w:w="100"/>
              <w:bottom w:type="dxa" w:w="70"/>
              <w:right w:type="dxa" w:w="100"/>
            </w:tcMar>
          </w:tcPr>
          <w:p>
            <w:r>
              <w:rPr>
                <w:rFonts w:ascii="Arial" w:cs="Arial" w:eastAsia="Arial" w:hAnsi="Arial"/>
                <w:b w:val="false"/>
                <w:bCs w:val="false"/>
                <w:color w:val="1A1A1A"/>
                <w:sz w:val="17"/>
                <w:szCs w:val="17"/>
              </w:rPr>
              <w:t xml:space="preserve">AF</w:t>
            </w:r>
          </w:p>
        </w:tc>
        <w:tc>
          <w:tcPr>
            <w:tcW w:type="dxa" w:w="1985"/>
            <w:tcBorders>
              <w:top w:val="single" w:color="DCDCDC" w:sz="4"/>
              <w:left w:val="single" w:color="DCDCDC" w:sz="4"/>
              <w:bottom w:val="single" w:color="DCDCDC" w:sz="4"/>
              <w:right w:val="single" w:color="DCDCDC" w:sz="4"/>
            </w:tcBorders>
            <w:shd w:fill="F4F4F4" w:val="clear"/>
            <w:tcMar>
              <w:top w:type="dxa" w:w="70"/>
              <w:left w:type="dxa" w:w="100"/>
              <w:bottom w:type="dxa" w:w="70"/>
              <w:right w:type="dxa" w:w="100"/>
            </w:tcMar>
          </w:tcPr>
          <w:p>
            <w:r>
              <w:rPr>
                <w:rFonts w:ascii="Arial" w:cs="Arial" w:eastAsia="Arial" w:hAnsi="Arial"/>
                <w:b w:val="false"/>
                <w:bCs w:val="false"/>
                <w:color w:val="1A1A1A"/>
                <w:sz w:val="17"/>
                <w:szCs w:val="17"/>
              </w:rPr>
              <w:t xml:space="preserve">Vol_Zone</w:t>
            </w:r>
          </w:p>
        </w:tc>
        <w:tc>
          <w:tcPr>
            <w:tcW w:type="dxa" w:w="3339"/>
            <w:tcBorders>
              <w:top w:val="single" w:color="DCDCDC" w:sz="4"/>
              <w:left w:val="single" w:color="DCDCDC" w:sz="4"/>
              <w:bottom w:val="single" w:color="DCDCDC" w:sz="4"/>
              <w:right w:val="single" w:color="DCDCDC" w:sz="4"/>
            </w:tcBorders>
            <w:shd w:fill="F4F4F4" w:val="clear"/>
            <w:tcMar>
              <w:top w:type="dxa" w:w="70"/>
              <w:left w:type="dxa" w:w="100"/>
              <w:bottom w:type="dxa" w:w="70"/>
              <w:right w:type="dxa" w:w="100"/>
            </w:tcMar>
          </w:tcPr>
          <w:p>
            <w:r>
              <w:rPr>
                <w:rFonts w:ascii="Courier New" w:cs="Courier New" w:eastAsia="Courier New" w:hAnsi="Courier New"/>
                <w:b w:val="false"/>
                <w:bCs w:val="false"/>
                <w:color w:val="333333"/>
                <w:sz w:val="16"/>
                <w:szCs w:val="16"/>
              </w:rPr>
              <w:t xml:space="preserve">=IF(W2&gt;10,"High","Stable")</w:t>
            </w:r>
          </w:p>
        </w:tc>
        <w:tc>
          <w:tcPr>
            <w:tcW w:type="dxa" w:w="2437"/>
            <w:tcBorders>
              <w:top w:val="single" w:color="DCDCDC" w:sz="4"/>
              <w:left w:val="single" w:color="DCDCDC" w:sz="4"/>
              <w:bottom w:val="single" w:color="DCDCDC" w:sz="4"/>
              <w:right w:val="single" w:color="DCDCDC" w:sz="4"/>
            </w:tcBorders>
            <w:shd w:fill="F4F4F4" w:val="clear"/>
            <w:tcMar>
              <w:top w:type="dxa" w:w="70"/>
              <w:left w:type="dxa" w:w="100"/>
              <w:bottom w:type="dxa" w:w="70"/>
              <w:right w:type="dxa" w:w="100"/>
            </w:tcMar>
          </w:tcPr>
          <w:p>
            <w:r>
              <w:rPr>
                <w:rFonts w:ascii="Arial" w:cs="Arial" w:eastAsia="Arial" w:hAnsi="Arial"/>
                <w:b w:val="false"/>
                <w:bCs w:val="false"/>
                <w:color w:val="1A1A1A"/>
                <w:sz w:val="17"/>
                <w:szCs w:val="17"/>
              </w:rPr>
              <w:t xml:space="preserve">High/Stable volatility zone classification</w:t>
            </w:r>
          </w:p>
        </w:tc>
      </w:tr>
      <w:tr>
        <w:trPr>
          <w:tblHeader w:val="false"/>
        </w:trPr>
        <w:tc>
          <w:tcPr>
            <w:tcW w:type="dxa" w:w="1263"/>
            <w:tcBorders>
              <w:top w:val="single" w:color="DCDCDC" w:sz="4"/>
              <w:left w:val="single" w:color="DCDCDC" w:sz="4"/>
              <w:bottom w:val="single" w:color="DCDCDC" w:sz="4"/>
              <w:right w:val="single" w:color="DCDCDC" w:sz="4"/>
            </w:tcBorders>
            <w:shd w:fill="FFFFFF" w:val="clear"/>
            <w:tcMar>
              <w:top w:type="dxa" w:w="70"/>
              <w:left w:type="dxa" w:w="100"/>
              <w:bottom w:type="dxa" w:w="70"/>
              <w:right w:type="dxa" w:w="100"/>
            </w:tcMar>
          </w:tcPr>
          <w:p>
            <w:r>
              <w:rPr>
                <w:rFonts w:ascii="Arial" w:cs="Arial" w:eastAsia="Arial" w:hAnsi="Arial"/>
                <w:b w:val="false"/>
                <w:bCs w:val="false"/>
                <w:color w:val="1A1A1A"/>
                <w:sz w:val="17"/>
                <w:szCs w:val="17"/>
              </w:rPr>
              <w:t xml:space="preserve">AG</w:t>
            </w:r>
          </w:p>
        </w:tc>
        <w:tc>
          <w:tcPr>
            <w:tcW w:type="dxa" w:w="1985"/>
            <w:tcBorders>
              <w:top w:val="single" w:color="DCDCDC" w:sz="4"/>
              <w:left w:val="single" w:color="DCDCDC" w:sz="4"/>
              <w:bottom w:val="single" w:color="DCDCDC" w:sz="4"/>
              <w:right w:val="single" w:color="DCDCDC" w:sz="4"/>
            </w:tcBorders>
            <w:shd w:fill="FFFFFF" w:val="clear"/>
            <w:tcMar>
              <w:top w:type="dxa" w:w="70"/>
              <w:left w:type="dxa" w:w="100"/>
              <w:bottom w:type="dxa" w:w="70"/>
              <w:right w:type="dxa" w:w="100"/>
            </w:tcMar>
          </w:tcPr>
          <w:p>
            <w:r>
              <w:rPr>
                <w:rFonts w:ascii="Arial" w:cs="Arial" w:eastAsia="Arial" w:hAnsi="Arial"/>
                <w:b w:val="false"/>
                <w:bCs w:val="false"/>
                <w:color w:val="1A1A1A"/>
                <w:sz w:val="17"/>
                <w:szCs w:val="17"/>
              </w:rPr>
              <w:t xml:space="preserve">Cum_Growth_Decade_%</w:t>
            </w:r>
          </w:p>
        </w:tc>
        <w:tc>
          <w:tcPr>
            <w:tcW w:type="dxa" w:w="3339"/>
            <w:tcBorders>
              <w:top w:val="single" w:color="DCDCDC" w:sz="4"/>
              <w:left w:val="single" w:color="DCDCDC" w:sz="4"/>
              <w:bottom w:val="single" w:color="DCDCDC" w:sz="4"/>
              <w:right w:val="single" w:color="DCDCDC" w:sz="4"/>
            </w:tcBorders>
            <w:shd w:fill="FFFFFF" w:val="clear"/>
            <w:tcMar>
              <w:top w:type="dxa" w:w="70"/>
              <w:left w:type="dxa" w:w="100"/>
              <w:bottom w:type="dxa" w:w="70"/>
              <w:right w:type="dxa" w:w="100"/>
            </w:tcMar>
          </w:tcPr>
          <w:p>
            <w:r>
              <w:rPr>
                <w:rFonts w:ascii="Courier New" w:cs="Courier New" w:eastAsia="Courier New" w:hAnsi="Courier New"/>
                <w:b w:val="false"/>
                <w:bCs w:val="false"/>
                <w:color w:val="333333"/>
                <w:sz w:val="16"/>
                <w:szCs w:val="16"/>
              </w:rPr>
              <w:t xml:space="preserve">=IF(C2=1,0,(F2-OFFSET(F2,1-C2,0))/OFFSET(F2,1-C2,0)*100)</w:t>
            </w:r>
          </w:p>
        </w:tc>
        <w:tc>
          <w:tcPr>
            <w:tcW w:type="dxa" w:w="2437"/>
            <w:tcBorders>
              <w:top w:val="single" w:color="DCDCDC" w:sz="4"/>
              <w:left w:val="single" w:color="DCDCDC" w:sz="4"/>
              <w:bottom w:val="single" w:color="DCDCDC" w:sz="4"/>
              <w:right w:val="single" w:color="DCDCDC" w:sz="4"/>
            </w:tcBorders>
            <w:shd w:fill="FFFFFF" w:val="clear"/>
            <w:tcMar>
              <w:top w:type="dxa" w:w="70"/>
              <w:left w:type="dxa" w:w="100"/>
              <w:bottom w:type="dxa" w:w="70"/>
              <w:right w:type="dxa" w:w="100"/>
            </w:tcMar>
          </w:tcPr>
          <w:p>
            <w:r>
              <w:rPr>
                <w:rFonts w:ascii="Arial" w:cs="Arial" w:eastAsia="Arial" w:hAnsi="Arial"/>
                <w:b w:val="false"/>
                <w:bCs w:val="false"/>
                <w:color w:val="1A1A1A"/>
                <w:sz w:val="17"/>
                <w:szCs w:val="17"/>
              </w:rPr>
              <w:t xml:space="preserve">Cumulative % growth from decade start</w:t>
            </w:r>
          </w:p>
        </w:tc>
      </w:tr>
    </w:tbl>
    <w:p>
      <w:pPr>
        <w:spacing w:after="160"/>
      </w:pPr>
      <w:r>
        <w:t xml:space="preserve"/>
      </w:r>
    </w:p>
    <w:p>
      <w:r>
        <w:br w:type="page"/>
      </w:r>
    </w:p>
    <w:p>
      <w:pPr>
        <w:pStyle w:val="Heading1"/>
        <w:spacing w:after="160" w:before="320"/>
      </w:pPr>
      <w:r>
        <w:rPr>
          <w:rFonts w:ascii="Arial" w:cs="Arial" w:eastAsia="Arial" w:hAnsi="Arial"/>
          <w:b/>
          <w:bCs/>
          <w:color w:val="1B2A4A"/>
          <w:sz w:val="36"/>
          <w:szCs w:val="36"/>
        </w:rPr>
        <w:t xml:space="preserve">7.  Executive Playbook — Three Action Pillars</w:t>
      </w:r>
    </w:p>
    <w:p>
      <w:pPr>
        <w:spacing w:after="60" w:before="1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24500" cy="3105150"/>
                    </a:xfrm>
                    <a:prstGeom prst="rect">
                      <a:avLst/>
                    </a:prstGeom>
                  </pic:spPr>
                </pic:pic>
              </a:graphicData>
            </a:graphic>
          </wp:inline>
        </w:drawing>
      </w:r>
    </w:p>
    <w:p>
      <w:pPr>
        <w:spacing w:after="160" w:before="60"/>
        <w:jc w:val="center"/>
      </w:pPr>
      <w:r>
        <w:rPr>
          <w:rFonts w:ascii="Arial" w:cs="Arial" w:eastAsia="Arial" w:hAnsi="Arial"/>
          <w:i/>
          <w:iCs/>
          <w:color w:val="555555"/>
          <w:sz w:val="17"/>
          <w:szCs w:val="17"/>
        </w:rPr>
        <w:t xml:space="preserve">Figure 14 — Executive Playbook: three-pillar framework for navigating a high-regime energy landscape</w:t>
      </w:r>
    </w:p>
    <w:p>
      <w:pPr>
        <w:spacing w:after="120"/>
      </w:pPr>
      <w:r>
        <w:rPr>
          <w:rFonts w:ascii="Arial" w:cs="Arial" w:eastAsia="Arial" w:hAnsi="Arial"/>
          <w:color w:val="1A1A1A"/>
          <w:sz w:val="21"/>
          <w:szCs w:val="21"/>
        </w:rPr>
        <w:t xml:space="preserve">The project concludes with three operational recommendations derived from the data findings. These are framed as actionable pillars for analysts, procurement professionals, and risk managers working in environments where energy costs are a material variable.</w:t>
      </w:r>
    </w:p>
    <w:p>
      <w:pPr>
        <w:pStyle w:val="Heading2"/>
        <w:spacing w:after="120" w:before="240"/>
      </w:pPr>
      <w:r>
        <w:rPr>
          <w:rFonts w:ascii="Arial" w:cs="Arial" w:eastAsia="Arial" w:hAnsi="Arial"/>
          <w:b/>
          <w:bCs/>
          <w:color w:val="1B2A4A"/>
          <w:sz w:val="26"/>
          <w:szCs w:val="26"/>
        </w:rPr>
        <w:t xml:space="preserve">7.1  Pillar 1 — Structural Pricing Reality</w:t>
      </w:r>
    </w:p>
    <w:p>
      <w:pPr>
        <w:pStyle w:val="ListParagraph"/>
        <w:numPr>
          <w:ilvl w:val="0"/>
          <w:numId w:val="2"/>
        </w:numPr>
        <w:spacing w:after="80"/>
      </w:pPr>
      <w:r>
        <w:rPr>
          <w:rFonts w:ascii="Arial" w:cs="Arial" w:eastAsia="Arial" w:hAnsi="Arial"/>
          <w:color w:val="1A1A1A"/>
          <w:sz w:val="21"/>
          <w:szCs w:val="21"/>
        </w:rPr>
        <w:t xml:space="preserve">Abandon static energy cost assumptions. Model energy as a long-term compounder with regional splits.</w:t>
      </w:r>
    </w:p>
    <w:p>
      <w:pPr>
        <w:pStyle w:val="ListParagraph"/>
        <w:numPr>
          <w:ilvl w:val="0"/>
          <w:numId w:val="2"/>
        </w:numPr>
        <w:spacing w:after="80"/>
      </w:pPr>
      <w:r>
        <w:rPr>
          <w:rFonts w:ascii="Arial" w:cs="Arial" w:eastAsia="Arial" w:hAnsi="Arial"/>
          <w:color w:val="1A1A1A"/>
          <w:sz w:val="21"/>
          <w:szCs w:val="21"/>
        </w:rPr>
        <w:t xml:space="preserve">Europe and the Middle East require entirely separate risk frameworks due to the $1.00/litre policy-driven gap that has persisted across all six decades.</w:t>
      </w:r>
    </w:p>
    <w:p>
      <w:pPr>
        <w:pStyle w:val="ListParagraph"/>
        <w:numPr>
          <w:ilvl w:val="0"/>
          <w:numId w:val="2"/>
        </w:numPr>
        <w:spacing w:after="80"/>
      </w:pPr>
      <w:r>
        <w:rPr>
          <w:rFonts w:ascii="Arial" w:cs="Arial" w:eastAsia="Arial" w:hAnsi="Arial"/>
          <w:color w:val="1A1A1A"/>
          <w:sz w:val="21"/>
          <w:szCs w:val="21"/>
        </w:rPr>
        <w:t xml:space="preserve">A 2,252% nominal increase over 56 years means energy inflation operates independently of general CPI; expect long-term baseline compounding to continue.</w:t>
      </w:r>
    </w:p>
    <w:p>
      <w:pPr>
        <w:pStyle w:val="Heading2"/>
        <w:spacing w:after="120" w:before="240"/>
      </w:pPr>
      <w:r>
        <w:rPr>
          <w:rFonts w:ascii="Arial" w:cs="Arial" w:eastAsia="Arial" w:hAnsi="Arial"/>
          <w:b/>
          <w:bCs/>
          <w:color w:val="1B2A4A"/>
          <w:sz w:val="26"/>
          <w:szCs w:val="26"/>
        </w:rPr>
        <w:t xml:space="preserve">7.2  Pillar 2 — Volatility and Shock Modelling</w:t>
      </w:r>
    </w:p>
    <w:p>
      <w:pPr>
        <w:pStyle w:val="ListParagraph"/>
        <w:numPr>
          <w:ilvl w:val="0"/>
          <w:numId w:val="2"/>
        </w:numPr>
        <w:spacing w:after="80"/>
      </w:pPr>
      <w:r>
        <w:rPr>
          <w:rFonts w:ascii="Arial" w:cs="Arial" w:eastAsia="Arial" w:hAnsi="Arial"/>
          <w:color w:val="1A1A1A"/>
          <w:sz w:val="21"/>
          <w:szCs w:val="21"/>
        </w:rPr>
        <w:t xml:space="preserve">Abandon normal distribution assumptions for energy price risk. Shocks cluster and create 12-month long-tail volatility ripples even after nominal prices partially recover.</w:t>
      </w:r>
    </w:p>
    <w:p>
      <w:pPr>
        <w:pStyle w:val="ListParagraph"/>
        <w:numPr>
          <w:ilvl w:val="0"/>
          <w:numId w:val="2"/>
        </w:numPr>
        <w:spacing w:after="80"/>
      </w:pPr>
      <w:r>
        <w:rPr>
          <w:rFonts w:ascii="Arial" w:cs="Arial" w:eastAsia="Arial" w:hAnsi="Arial"/>
          <w:color w:val="1A1A1A"/>
          <w:sz w:val="21"/>
          <w:szCs w:val="21"/>
        </w:rPr>
        <w:t xml:space="preserve">Weight economic crises more heavily than wars in energy stress tests. Economic crises drive 70% higher average prices than wars and produce the all-time historical peaks.</w:t>
      </w:r>
    </w:p>
    <w:p>
      <w:pPr>
        <w:pStyle w:val="ListParagraph"/>
        <w:numPr>
          <w:ilvl w:val="0"/>
          <w:numId w:val="2"/>
        </w:numPr>
        <w:spacing w:after="80"/>
      </w:pPr>
      <w:r>
        <w:rPr>
          <w:rFonts w:ascii="Arial" w:cs="Arial" w:eastAsia="Arial" w:hAnsi="Arial"/>
          <w:color w:val="1A1A1A"/>
          <w:sz w:val="21"/>
          <w:szCs w:val="21"/>
        </w:rPr>
        <w:t xml:space="preserve">When a shock month is identified (±15% MoM move), extend the planning horizon to 18 months minimum before assuming stable cost assumptions are valid again.</w:t>
      </w:r>
    </w:p>
    <w:p>
      <w:pPr>
        <w:pStyle w:val="Heading2"/>
        <w:spacing w:after="120" w:before="240"/>
      </w:pPr>
      <w:r>
        <w:rPr>
          <w:rFonts w:ascii="Arial" w:cs="Arial" w:eastAsia="Arial" w:hAnsi="Arial"/>
          <w:b/>
          <w:bCs/>
          <w:color w:val="1B2A4A"/>
          <w:sz w:val="26"/>
          <w:szCs w:val="26"/>
        </w:rPr>
        <w:t xml:space="preserve">7.3  Pillar 3 — Forecasting Signals</w:t>
      </w:r>
    </w:p>
    <w:p>
      <w:pPr>
        <w:pStyle w:val="ListParagraph"/>
        <w:numPr>
          <w:ilvl w:val="0"/>
          <w:numId w:val="2"/>
        </w:numPr>
        <w:spacing w:after="80"/>
      </w:pPr>
      <w:r>
        <w:rPr>
          <w:rFonts w:ascii="Arial" w:cs="Arial" w:eastAsia="Arial" w:hAnsi="Arial"/>
          <w:color w:val="1A1A1A"/>
          <w:sz w:val="21"/>
          <w:szCs w:val="21"/>
        </w:rPr>
        <w:t xml:space="preserve">Deploy the Demand/Supply Ratio (column AC, DS_Ratio) as a leading indicator. Any sustained reading above 1.02 mandates immediate defensive posturing ahead of the 6-month crude lag.</w:t>
      </w:r>
    </w:p>
    <w:p>
      <w:pPr>
        <w:pStyle w:val="ListParagraph"/>
        <w:numPr>
          <w:ilvl w:val="0"/>
          <w:numId w:val="2"/>
        </w:numPr>
        <w:spacing w:after="80"/>
      </w:pPr>
      <w:r>
        <w:rPr>
          <w:rFonts w:ascii="Arial" w:cs="Arial" w:eastAsia="Arial" w:hAnsi="Arial"/>
          <w:color w:val="1A1A1A"/>
          <w:sz w:val="21"/>
          <w:szCs w:val="21"/>
        </w:rPr>
        <w:t xml:space="preserve">Monitor the Q2-Q3 seasonal driving premium for predictable entry and exit windows in energy procurement and commodity positioning.</w:t>
      </w:r>
    </w:p>
    <w:p>
      <w:pPr>
        <w:pStyle w:val="ListParagraph"/>
        <w:numPr>
          <w:ilvl w:val="0"/>
          <w:numId w:val="2"/>
        </w:numPr>
        <w:spacing w:after="80"/>
      </w:pPr>
      <w:r>
        <w:rPr>
          <w:rFonts w:ascii="Arial" w:cs="Arial" w:eastAsia="Arial" w:hAnsi="Arial"/>
          <w:color w:val="1A1A1A"/>
          <w:sz w:val="21"/>
          <w:szCs w:val="21"/>
        </w:rPr>
        <w:t xml:space="preserve">For organisations with exposure to European or Middle Eastern fuel costs, monitor regional policy developments independently of global crude price movements.</w:t>
      </w:r>
    </w:p>
    <w:p>
      <w:pPr>
        <w:spacing w:after="160"/>
      </w:pPr>
      <w:r>
        <w:t xml:space="preserve"/>
      </w:r>
    </w:p>
    <w:p>
      <w:r>
        <w:br w:type="page"/>
      </w:r>
    </w:p>
    <w:p>
      <w:pPr>
        <w:pStyle w:val="Heading1"/>
        <w:spacing w:after="160" w:before="320"/>
      </w:pPr>
      <w:r>
        <w:rPr>
          <w:rFonts w:ascii="Arial" w:cs="Arial" w:eastAsia="Arial" w:hAnsi="Arial"/>
          <w:b/>
          <w:bCs/>
          <w:color w:val="1B2A4A"/>
          <w:sz w:val="36"/>
          <w:szCs w:val="36"/>
        </w:rPr>
        <w:t xml:space="preserve">8.  Project Deliverables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3159"/>
        <w:gridCol w:w="3159"/>
      </w:tblGrid>
      <w:tr>
        <w:trPr>
          <w:tblHeader/>
        </w:trPr>
        <w:tc>
          <w:tcPr>
            <w:tcW w:type="dxa" w:w="2707"/>
            <w:tcBorders>
              <w:top w:val="single" w:color="DCDCDC" w:sz="4"/>
              <w:left w:val="single" w:color="DCDCDC" w:sz="4"/>
              <w:bottom w:val="single" w:color="DCDCDC" w:sz="4"/>
              <w:right w:val="single" w:color="DCDCDC"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Deliverable</w:t>
            </w:r>
          </w:p>
        </w:tc>
        <w:tc>
          <w:tcPr>
            <w:tcW w:type="dxa" w:w="3159"/>
            <w:tcBorders>
              <w:top w:val="single" w:color="DCDCDC" w:sz="4"/>
              <w:left w:val="single" w:color="DCDCDC" w:sz="4"/>
              <w:bottom w:val="single" w:color="DCDCDC" w:sz="4"/>
              <w:right w:val="single" w:color="DCDCDC"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Format</w:t>
            </w:r>
          </w:p>
        </w:tc>
        <w:tc>
          <w:tcPr>
            <w:tcW w:type="dxa" w:w="3159"/>
            <w:tcBorders>
              <w:top w:val="single" w:color="DCDCDC" w:sz="4"/>
              <w:left w:val="single" w:color="DCDCDC" w:sz="4"/>
              <w:bottom w:val="single" w:color="DCDCDC" w:sz="4"/>
              <w:right w:val="single" w:color="DCDCDC" w:sz="4"/>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rPr>
          <w:tblHeader w:val="false"/>
        </w:trPr>
        <w:tc>
          <w:tcPr>
            <w:tcW w:type="dxa" w:w="2707"/>
            <w:tcBorders>
              <w:top w:val="single" w:color="DCDCDC" w:sz="4"/>
              <w:left w:val="single" w:color="DCDCDC" w:sz="4"/>
              <w:bottom w:val="single" w:color="DCDCDC" w:sz="4"/>
              <w:right w:val="single" w:color="DCDCDC" w:sz="4"/>
            </w:tcBorders>
            <w:shd w:fill="F4F4F4" w:val="clear"/>
            <w:tcMar>
              <w:top w:type="dxa" w:w="80"/>
              <w:left w:type="dxa" w:w="120"/>
              <w:bottom w:type="dxa" w:w="80"/>
              <w:right w:type="dxa" w:w="120"/>
            </w:tcMar>
          </w:tcPr>
          <w:p>
            <w:r>
              <w:rPr>
                <w:rFonts w:ascii="Arial" w:cs="Arial" w:eastAsia="Arial" w:hAnsi="Arial"/>
                <w:b w:val="false"/>
                <w:bCs w:val="false"/>
                <w:color w:val="1A1A1A"/>
                <w:sz w:val="18"/>
                <w:szCs w:val="18"/>
              </w:rPr>
              <w:t xml:space="preserve">Enriched Dataset</w:t>
            </w:r>
          </w:p>
        </w:tc>
        <w:tc>
          <w:tcPr>
            <w:tcW w:type="dxa" w:w="3159"/>
            <w:tcBorders>
              <w:top w:val="single" w:color="DCDCDC" w:sz="4"/>
              <w:left w:val="single" w:color="DCDCDC" w:sz="4"/>
              <w:bottom w:val="single" w:color="DCDCDC" w:sz="4"/>
              <w:right w:val="single" w:color="DCDCDC" w:sz="4"/>
            </w:tcBorders>
            <w:shd w:fill="F4F4F4" w:val="clear"/>
            <w:tcMar>
              <w:top w:type="dxa" w:w="80"/>
              <w:left w:type="dxa" w:w="120"/>
              <w:bottom w:type="dxa" w:w="80"/>
              <w:right w:type="dxa" w:w="120"/>
            </w:tcMar>
          </w:tcPr>
          <w:p>
            <w:r>
              <w:rPr>
                <w:rFonts w:ascii="Arial" w:cs="Arial" w:eastAsia="Arial" w:hAnsi="Arial"/>
                <w:b w:val="false"/>
                <w:bCs w:val="false"/>
                <w:color w:val="1A1A1A"/>
                <w:sz w:val="18"/>
                <w:szCs w:val="18"/>
              </w:rPr>
              <w:t xml:space="preserve">fuel_dashboard.xlsx — DATASET sheet</w:t>
            </w:r>
          </w:p>
        </w:tc>
        <w:tc>
          <w:tcPr>
            <w:tcW w:type="dxa" w:w="3159"/>
            <w:tcBorders>
              <w:top w:val="single" w:color="DCDCDC" w:sz="4"/>
              <w:left w:val="single" w:color="DCDCDC" w:sz="4"/>
              <w:bottom w:val="single" w:color="DCDCDC" w:sz="4"/>
              <w:right w:val="single" w:color="DCDCDC" w:sz="4"/>
            </w:tcBorders>
            <w:shd w:fill="F4F4F4" w:val="clear"/>
            <w:tcMar>
              <w:top w:type="dxa" w:w="80"/>
              <w:left w:type="dxa" w:w="120"/>
              <w:bottom w:type="dxa" w:w="80"/>
              <w:right w:type="dxa" w:w="120"/>
            </w:tcMar>
          </w:tcPr>
          <w:p>
            <w:r>
              <w:rPr>
                <w:rFonts w:ascii="Arial" w:cs="Arial" w:eastAsia="Arial" w:hAnsi="Arial"/>
                <w:b w:val="false"/>
                <w:bCs w:val="false"/>
                <w:color w:val="1A1A1A"/>
                <w:sz w:val="18"/>
                <w:szCs w:val="18"/>
              </w:rPr>
              <w:t xml:space="preserve">2,700 rows × 33 columns including all 12 derived analytics columns with live Excel formulas</w:t>
            </w:r>
          </w:p>
        </w:tc>
      </w:tr>
      <w:tr>
        <w:trPr>
          <w:tblHeader w:val="false"/>
        </w:trPr>
        <w:tc>
          <w:tcPr>
            <w:tcW w:type="dxa" w:w="2707"/>
            <w:tcBorders>
              <w:top w:val="single" w:color="DCDCDC" w:sz="4"/>
              <w:left w:val="single" w:color="DCDCDC" w:sz="4"/>
              <w:bottom w:val="single" w:color="DCDCDC" w:sz="4"/>
              <w:right w:val="single" w:color="DCDCDC"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Interactive Dashboard</w:t>
            </w:r>
          </w:p>
        </w:tc>
        <w:tc>
          <w:tcPr>
            <w:tcW w:type="dxa" w:w="3159"/>
            <w:tcBorders>
              <w:top w:val="single" w:color="DCDCDC" w:sz="4"/>
              <w:left w:val="single" w:color="DCDCDC" w:sz="4"/>
              <w:bottom w:val="single" w:color="DCDCDC" w:sz="4"/>
              <w:right w:val="single" w:color="DCDCDC"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fuel_dashboard.xlsx — DASHBOARD sheet</w:t>
            </w:r>
          </w:p>
        </w:tc>
        <w:tc>
          <w:tcPr>
            <w:tcW w:type="dxa" w:w="3159"/>
            <w:tcBorders>
              <w:top w:val="single" w:color="DCDCDC" w:sz="4"/>
              <w:left w:val="single" w:color="DCDCDC" w:sz="4"/>
              <w:bottom w:val="single" w:color="DCDCDC" w:sz="4"/>
              <w:right w:val="single" w:color="DCDCDC"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Dark-theme dashboard: 7 KPI cards, 6 charts, dynamic titles, slicer-ready pivot connections</w:t>
            </w:r>
          </w:p>
        </w:tc>
      </w:tr>
      <w:tr>
        <w:trPr>
          <w:tblHeader w:val="false"/>
        </w:trPr>
        <w:tc>
          <w:tcPr>
            <w:tcW w:type="dxa" w:w="2707"/>
            <w:tcBorders>
              <w:top w:val="single" w:color="DCDCDC" w:sz="4"/>
              <w:left w:val="single" w:color="DCDCDC" w:sz="4"/>
              <w:bottom w:val="single" w:color="DCDCDC" w:sz="4"/>
              <w:right w:val="single" w:color="DCDCDC" w:sz="4"/>
            </w:tcBorders>
            <w:shd w:fill="F4F4F4" w:val="clear"/>
            <w:tcMar>
              <w:top w:type="dxa" w:w="80"/>
              <w:left w:type="dxa" w:w="120"/>
              <w:bottom w:type="dxa" w:w="80"/>
              <w:right w:type="dxa" w:w="120"/>
            </w:tcMar>
          </w:tcPr>
          <w:p>
            <w:r>
              <w:rPr>
                <w:rFonts w:ascii="Arial" w:cs="Arial" w:eastAsia="Arial" w:hAnsi="Arial"/>
                <w:b w:val="false"/>
                <w:bCs w:val="false"/>
                <w:color w:val="1A1A1A"/>
                <w:sz w:val="18"/>
                <w:szCs w:val="18"/>
              </w:rPr>
              <w:t xml:space="preserve">Pivot Tables (×8)</w:t>
            </w:r>
          </w:p>
        </w:tc>
        <w:tc>
          <w:tcPr>
            <w:tcW w:type="dxa" w:w="3159"/>
            <w:tcBorders>
              <w:top w:val="single" w:color="DCDCDC" w:sz="4"/>
              <w:left w:val="single" w:color="DCDCDC" w:sz="4"/>
              <w:bottom w:val="single" w:color="DCDCDC" w:sz="4"/>
              <w:right w:val="single" w:color="DCDCDC" w:sz="4"/>
            </w:tcBorders>
            <w:shd w:fill="F4F4F4" w:val="clear"/>
            <w:tcMar>
              <w:top w:type="dxa" w:w="80"/>
              <w:left w:type="dxa" w:w="120"/>
              <w:bottom w:type="dxa" w:w="80"/>
              <w:right w:type="dxa" w:w="120"/>
            </w:tcMar>
          </w:tcPr>
          <w:p>
            <w:r>
              <w:rPr>
                <w:rFonts w:ascii="Arial" w:cs="Arial" w:eastAsia="Arial" w:hAnsi="Arial"/>
                <w:b w:val="false"/>
                <w:bCs w:val="false"/>
                <w:color w:val="1A1A1A"/>
                <w:sz w:val="18"/>
                <w:szCs w:val="18"/>
              </w:rPr>
              <w:t xml:space="preserve">fuel_dashboard.xlsx — PIVOTS sheet</w:t>
            </w:r>
          </w:p>
        </w:tc>
        <w:tc>
          <w:tcPr>
            <w:tcW w:type="dxa" w:w="3159"/>
            <w:tcBorders>
              <w:top w:val="single" w:color="DCDCDC" w:sz="4"/>
              <w:left w:val="single" w:color="DCDCDC" w:sz="4"/>
              <w:bottom w:val="single" w:color="DCDCDC" w:sz="4"/>
              <w:right w:val="single" w:color="DCDCDC" w:sz="4"/>
            </w:tcBorders>
            <w:shd w:fill="F4F4F4" w:val="clear"/>
            <w:tcMar>
              <w:top w:type="dxa" w:w="80"/>
              <w:left w:type="dxa" w:w="120"/>
              <w:bottom w:type="dxa" w:w="80"/>
              <w:right w:type="dxa" w:w="120"/>
            </w:tcMar>
          </w:tcPr>
          <w:p>
            <w:r>
              <w:rPr>
                <w:rFonts w:ascii="Arial" w:cs="Arial" w:eastAsia="Arial" w:hAnsi="Arial"/>
                <w:b w:val="false"/>
                <w:bCs w:val="false"/>
                <w:color w:val="1A1A1A"/>
                <w:sz w:val="18"/>
                <w:szCs w:val="18"/>
              </w:rPr>
              <w:t xml:space="preserve">8 analytical pivot tables with colour-scale conditional formatting and 9 embedded charts</w:t>
            </w:r>
          </w:p>
        </w:tc>
      </w:tr>
      <w:tr>
        <w:trPr>
          <w:tblHeader w:val="false"/>
        </w:trPr>
        <w:tc>
          <w:tcPr>
            <w:tcW w:type="dxa" w:w="2707"/>
            <w:tcBorders>
              <w:top w:val="single" w:color="DCDCDC" w:sz="4"/>
              <w:left w:val="single" w:color="DCDCDC" w:sz="4"/>
              <w:bottom w:val="single" w:color="DCDCDC" w:sz="4"/>
              <w:right w:val="single" w:color="DCDCDC"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Formula Reference</w:t>
            </w:r>
          </w:p>
        </w:tc>
        <w:tc>
          <w:tcPr>
            <w:tcW w:type="dxa" w:w="3159"/>
            <w:tcBorders>
              <w:top w:val="single" w:color="DCDCDC" w:sz="4"/>
              <w:left w:val="single" w:color="DCDCDC" w:sz="4"/>
              <w:bottom w:val="single" w:color="DCDCDC" w:sz="4"/>
              <w:right w:val="single" w:color="DCDCDC"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fuel_dashboard.xlsx — FORMULA_GUIDE sheet</w:t>
            </w:r>
          </w:p>
        </w:tc>
        <w:tc>
          <w:tcPr>
            <w:tcW w:type="dxa" w:w="3159"/>
            <w:tcBorders>
              <w:top w:val="single" w:color="DCDCDC" w:sz="4"/>
              <w:left w:val="single" w:color="DCDCDC" w:sz="4"/>
              <w:bottom w:val="single" w:color="DCDCDC" w:sz="4"/>
              <w:right w:val="single" w:color="DCDCDC"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Complete formula documentation for all 12 calculated columns with explanations</w:t>
            </w:r>
          </w:p>
        </w:tc>
      </w:tr>
      <w:tr>
        <w:trPr>
          <w:tblHeader w:val="false"/>
        </w:trPr>
        <w:tc>
          <w:tcPr>
            <w:tcW w:type="dxa" w:w="2707"/>
            <w:tcBorders>
              <w:top w:val="single" w:color="DCDCDC" w:sz="4"/>
              <w:left w:val="single" w:color="DCDCDC" w:sz="4"/>
              <w:bottom w:val="single" w:color="DCDCDC" w:sz="4"/>
              <w:right w:val="single" w:color="DCDCDC" w:sz="4"/>
            </w:tcBorders>
            <w:shd w:fill="F4F4F4" w:val="clear"/>
            <w:tcMar>
              <w:top w:type="dxa" w:w="80"/>
              <w:left w:type="dxa" w:w="120"/>
              <w:bottom w:type="dxa" w:w="80"/>
              <w:right w:type="dxa" w:w="120"/>
            </w:tcMar>
          </w:tcPr>
          <w:p>
            <w:r>
              <w:rPr>
                <w:rFonts w:ascii="Arial" w:cs="Arial" w:eastAsia="Arial" w:hAnsi="Arial"/>
                <w:b w:val="false"/>
                <w:bCs w:val="false"/>
                <w:color w:val="1A1A1A"/>
                <w:sz w:val="18"/>
                <w:szCs w:val="18"/>
              </w:rPr>
              <w:t xml:space="preserve">Analytical Insights</w:t>
            </w:r>
          </w:p>
        </w:tc>
        <w:tc>
          <w:tcPr>
            <w:tcW w:type="dxa" w:w="3159"/>
            <w:tcBorders>
              <w:top w:val="single" w:color="DCDCDC" w:sz="4"/>
              <w:left w:val="single" w:color="DCDCDC" w:sz="4"/>
              <w:bottom w:val="single" w:color="DCDCDC" w:sz="4"/>
              <w:right w:val="single" w:color="DCDCDC" w:sz="4"/>
            </w:tcBorders>
            <w:shd w:fill="F4F4F4" w:val="clear"/>
            <w:tcMar>
              <w:top w:type="dxa" w:w="80"/>
              <w:left w:type="dxa" w:w="120"/>
              <w:bottom w:type="dxa" w:w="80"/>
              <w:right w:type="dxa" w:w="120"/>
            </w:tcMar>
          </w:tcPr>
          <w:p>
            <w:r>
              <w:rPr>
                <w:rFonts w:ascii="Arial" w:cs="Arial" w:eastAsia="Arial" w:hAnsi="Arial"/>
                <w:b w:val="false"/>
                <w:bCs w:val="false"/>
                <w:color w:val="1A1A1A"/>
                <w:sz w:val="18"/>
                <w:szCs w:val="18"/>
              </w:rPr>
              <w:t xml:space="preserve">fuel_dashboard.xlsx — KEY_INSIGHTS sheet</w:t>
            </w:r>
          </w:p>
        </w:tc>
        <w:tc>
          <w:tcPr>
            <w:tcW w:type="dxa" w:w="3159"/>
            <w:tcBorders>
              <w:top w:val="single" w:color="DCDCDC" w:sz="4"/>
              <w:left w:val="single" w:color="DCDCDC" w:sz="4"/>
              <w:bottom w:val="single" w:color="DCDCDC" w:sz="4"/>
              <w:right w:val="single" w:color="DCDCDC" w:sz="4"/>
            </w:tcBorders>
            <w:shd w:fill="F4F4F4" w:val="clear"/>
            <w:tcMar>
              <w:top w:type="dxa" w:w="80"/>
              <w:left w:type="dxa" w:w="120"/>
              <w:bottom w:type="dxa" w:w="80"/>
              <w:right w:type="dxa" w:w="120"/>
            </w:tcMar>
          </w:tcPr>
          <w:p>
            <w:r>
              <w:rPr>
                <w:rFonts w:ascii="Arial" w:cs="Arial" w:eastAsia="Arial" w:hAnsi="Arial"/>
                <w:b w:val="false"/>
                <w:bCs w:val="false"/>
                <w:color w:val="1A1A1A"/>
                <w:sz w:val="18"/>
                <w:szCs w:val="18"/>
              </w:rPr>
              <w:t xml:space="preserve">10 pre-computed findings with data evidence, business implication, and chart reference</w:t>
            </w:r>
          </w:p>
        </w:tc>
      </w:tr>
      <w:tr>
        <w:trPr>
          <w:tblHeader w:val="false"/>
        </w:trPr>
        <w:tc>
          <w:tcPr>
            <w:tcW w:type="dxa" w:w="2707"/>
            <w:tcBorders>
              <w:top w:val="single" w:color="DCDCDC" w:sz="4"/>
              <w:left w:val="single" w:color="DCDCDC" w:sz="4"/>
              <w:bottom w:val="single" w:color="DCDCDC" w:sz="4"/>
              <w:right w:val="single" w:color="DCDCDC"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Presentation (14 slides)</w:t>
            </w:r>
          </w:p>
        </w:tc>
        <w:tc>
          <w:tcPr>
            <w:tcW w:type="dxa" w:w="3159"/>
            <w:tcBorders>
              <w:top w:val="single" w:color="DCDCDC" w:sz="4"/>
              <w:left w:val="single" w:color="DCDCDC" w:sz="4"/>
              <w:bottom w:val="single" w:color="DCDCDC" w:sz="4"/>
              <w:right w:val="single" w:color="DCDCDC"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Global_Fuel_Price_Intelligence.pptx</w:t>
            </w:r>
          </w:p>
        </w:tc>
        <w:tc>
          <w:tcPr>
            <w:tcW w:type="dxa" w:w="3159"/>
            <w:tcBorders>
              <w:top w:val="single" w:color="DCDCDC" w:sz="4"/>
              <w:left w:val="single" w:color="DCDCDC" w:sz="4"/>
              <w:bottom w:val="single" w:color="DCDCDC" w:sz="4"/>
              <w:right w:val="single" w:color="DCDCDC"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14-slide executive presentation built in NotebookLM with data-driven charts and insights</w:t>
            </w:r>
          </w:p>
        </w:tc>
      </w:tr>
      <w:tr>
        <w:trPr>
          <w:tblHeader w:val="false"/>
        </w:trPr>
        <w:tc>
          <w:tcPr>
            <w:tcW w:type="dxa" w:w="2707"/>
            <w:tcBorders>
              <w:top w:val="single" w:color="DCDCDC" w:sz="4"/>
              <w:left w:val="single" w:color="DCDCDC" w:sz="4"/>
              <w:bottom w:val="single" w:color="DCDCDC" w:sz="4"/>
              <w:right w:val="single" w:color="DCDCDC" w:sz="4"/>
            </w:tcBorders>
            <w:shd w:fill="F4F4F4" w:val="clear"/>
            <w:tcMar>
              <w:top w:type="dxa" w:w="80"/>
              <w:left w:type="dxa" w:w="120"/>
              <w:bottom w:type="dxa" w:w="80"/>
              <w:right w:type="dxa" w:w="120"/>
            </w:tcMar>
          </w:tcPr>
          <w:p>
            <w:r>
              <w:rPr>
                <w:rFonts w:ascii="Arial" w:cs="Arial" w:eastAsia="Arial" w:hAnsi="Arial"/>
                <w:b w:val="false"/>
                <w:bCs w:val="false"/>
                <w:color w:val="1A1A1A"/>
                <w:sz w:val="18"/>
                <w:szCs w:val="18"/>
              </w:rPr>
              <w:t xml:space="preserve">PDF Report</w:t>
            </w:r>
          </w:p>
        </w:tc>
        <w:tc>
          <w:tcPr>
            <w:tcW w:type="dxa" w:w="3159"/>
            <w:tcBorders>
              <w:top w:val="single" w:color="DCDCDC" w:sz="4"/>
              <w:left w:val="single" w:color="DCDCDC" w:sz="4"/>
              <w:bottom w:val="single" w:color="DCDCDC" w:sz="4"/>
              <w:right w:val="single" w:color="DCDCDC" w:sz="4"/>
            </w:tcBorders>
            <w:shd w:fill="F4F4F4" w:val="clear"/>
            <w:tcMar>
              <w:top w:type="dxa" w:w="80"/>
              <w:left w:type="dxa" w:w="120"/>
              <w:bottom w:type="dxa" w:w="80"/>
              <w:right w:type="dxa" w:w="120"/>
            </w:tcMar>
          </w:tcPr>
          <w:p>
            <w:r>
              <w:rPr>
                <w:rFonts w:ascii="Arial" w:cs="Arial" w:eastAsia="Arial" w:hAnsi="Arial"/>
                <w:b w:val="false"/>
                <w:bCs w:val="false"/>
                <w:color w:val="1A1A1A"/>
                <w:sz w:val="18"/>
                <w:szCs w:val="18"/>
              </w:rPr>
              <w:t xml:space="preserve">fuel_dashboard_report.pdf</w:t>
            </w:r>
          </w:p>
        </w:tc>
        <w:tc>
          <w:tcPr>
            <w:tcW w:type="dxa" w:w="3159"/>
            <w:tcBorders>
              <w:top w:val="single" w:color="DCDCDC" w:sz="4"/>
              <w:left w:val="single" w:color="DCDCDC" w:sz="4"/>
              <w:bottom w:val="single" w:color="DCDCDC" w:sz="4"/>
              <w:right w:val="single" w:color="DCDCDC" w:sz="4"/>
            </w:tcBorders>
            <w:shd w:fill="F4F4F4" w:val="clear"/>
            <w:tcMar>
              <w:top w:type="dxa" w:w="80"/>
              <w:left w:type="dxa" w:w="120"/>
              <w:bottom w:type="dxa" w:w="80"/>
              <w:right w:type="dxa" w:w="120"/>
            </w:tcMar>
          </w:tcPr>
          <w:p>
            <w:r>
              <w:rPr>
                <w:rFonts w:ascii="Arial" w:cs="Arial" w:eastAsia="Arial" w:hAnsi="Arial"/>
                <w:b w:val="false"/>
                <w:bCs w:val="false"/>
                <w:color w:val="1A1A1A"/>
                <w:sz w:val="18"/>
                <w:szCs w:val="18"/>
              </w:rPr>
              <w:t xml:space="preserve">10-page structured PDF report covering all analytical sections with embedded charts</w:t>
            </w:r>
          </w:p>
        </w:tc>
      </w:tr>
      <w:tr>
        <w:trPr>
          <w:tblHeader w:val="false"/>
        </w:trPr>
        <w:tc>
          <w:tcPr>
            <w:tcW w:type="dxa" w:w="2707"/>
            <w:tcBorders>
              <w:top w:val="single" w:color="DCDCDC" w:sz="4"/>
              <w:left w:val="single" w:color="DCDCDC" w:sz="4"/>
              <w:bottom w:val="single" w:color="DCDCDC" w:sz="4"/>
              <w:right w:val="single" w:color="DCDCDC"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Project Documentation</w:t>
            </w:r>
          </w:p>
        </w:tc>
        <w:tc>
          <w:tcPr>
            <w:tcW w:type="dxa" w:w="3159"/>
            <w:tcBorders>
              <w:top w:val="single" w:color="DCDCDC" w:sz="4"/>
              <w:left w:val="single" w:color="DCDCDC" w:sz="4"/>
              <w:bottom w:val="single" w:color="DCDCDC" w:sz="4"/>
              <w:right w:val="single" w:color="DCDCDC"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This document (.docx and .pdf)</w:t>
            </w:r>
          </w:p>
        </w:tc>
        <w:tc>
          <w:tcPr>
            <w:tcW w:type="dxa" w:w="3159"/>
            <w:tcBorders>
              <w:top w:val="single" w:color="DCDCDC" w:sz="4"/>
              <w:left w:val="single" w:color="DCDCDC" w:sz="4"/>
              <w:bottom w:val="single" w:color="DCDCDC" w:sz="4"/>
              <w:right w:val="single" w:color="DCDCDC" w:sz="4"/>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Formal project documentation covering methodology, findings, formulas, and deliverables</w:t>
            </w:r>
          </w:p>
        </w:tc>
      </w:tr>
    </w:tbl>
    <w:p>
      <w:pPr>
        <w:spacing w:after="300"/>
      </w:pPr>
      <w:r>
        <w:t xml:space="preserve"/>
      </w:r>
    </w:p>
    <w:p>
      <w:pPr>
        <w:pBdr>
          <w:bottom w:val="single" w:color="DCDCDC" w:sz="4" w:space="1"/>
        </w:pBdr>
        <w:spacing w:after="160" w:before="160"/>
      </w:pPr>
      <w:r>
        <w:t xml:space="preserve"/>
      </w:r>
    </w:p>
    <w:p>
      <w:pPr>
        <w:spacing w:before="160"/>
        <w:jc w:val="center"/>
      </w:pPr>
      <w:r>
        <w:rPr>
          <w:rFonts w:ascii="Arial" w:cs="Arial" w:eastAsia="Arial" w:hAnsi="Arial"/>
          <w:i/>
          <w:iCs/>
          <w:color w:val="555555"/>
          <w:sz w:val="17"/>
          <w:szCs w:val="17"/>
        </w:rPr>
        <w:t xml:space="preserve">End of Document — Global Fuel Price Intelligence Project Documentation</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DCDC" w:sz="4" w:space="1"/>
      </w:pBdr>
      <w:tabs>
        <w:tab w:val="right" w:pos="9026"/>
      </w:tabs>
      <w:spacing w:before="80"/>
    </w:pPr>
    <w:r>
      <w:rPr>
        <w:rFonts w:ascii="Arial" w:cs="Arial" w:eastAsia="Arial" w:hAnsi="Arial"/>
        <w:color w:val="555555"/>
        <w:sz w:val="16"/>
        <w:szCs w:val="16"/>
      </w:rPr>
      <w:t xml:space="preserve">Global Fuel Price Intelligence — Project Documentation</w:t>
    </w:r>
    <w:r>
      <w:rPr>
        <w:sz w:val="16"/>
        <w:szCs w:val="16"/>
      </w:rPr>
      <w:t xml:space="preserve">	</w:t>
    </w:r>
    <w:r>
      <w:rPr>
        <w:rFonts w:ascii="Arial" w:cs="Arial" w:eastAsia="Arial" w:hAnsi="Arial"/>
        <w:color w:val="555555"/>
        <w:sz w:val="16"/>
        <w:szCs w:val="16"/>
      </w:rPr>
      <w:t xml:space="preserve">Page </w:t>
    </w:r>
    <w:fldSimple w:instr="PAGE">
      <w:r>
        <w:rPr>
          <w:rFonts w:ascii="Arial" w:cs="Arial" w:eastAsia="Arial" w:hAnsi="Arial"/>
          <w:b/>
          <w:bCs/>
          <w:color w:val="1B2A4A"/>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6" w:space="1"/>
      </w:pBdr>
      <w:tabs>
        <w:tab w:val="right" w:pos="9026"/>
      </w:tabs>
      <w:spacing w:after="100"/>
    </w:pPr>
    <w:r>
      <w:rPr>
        <w:rFonts w:ascii="Arial" w:cs="Arial" w:eastAsia="Arial" w:hAnsi="Arial"/>
        <w:b/>
        <w:bCs/>
        <w:color w:val="1B2A4A"/>
        <w:sz w:val="18"/>
        <w:szCs w:val="18"/>
      </w:rPr>
      <w:t xml:space="preserve">Global Fuel Price Intelligence</w:t>
    </w:r>
    <w:r>
      <w:rPr>
        <w:sz w:val="18"/>
        <w:szCs w:val="18"/>
      </w:rPr>
      <w:t xml:space="preserve">	</w:t>
    </w:r>
    <w:r>
      <w:rPr>
        <w:rFonts w:ascii="Arial" w:cs="Arial" w:eastAsia="Arial" w:hAnsi="Arial"/>
        <w:color w:val="555555"/>
        <w:sz w:val="16"/>
        <w:szCs w:val="16"/>
      </w:rPr>
      <w:t xml:space="preserve">Data Analytics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B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4776da420868aad110da3890eea5220f3d67a14.jpg"/><Relationship Id="rId10" Type="http://schemas.openxmlformats.org/officeDocument/2006/relationships/image" Target="media/1bf3af4fbb036c88c1b68ab6897b8388717d0e0e.jpg"/><Relationship Id="rId11" Type="http://schemas.openxmlformats.org/officeDocument/2006/relationships/image" Target="media/b52e1ceb1f54f4eb78a1655bb9321a73a15860c0.jpg"/><Relationship Id="rId12" Type="http://schemas.openxmlformats.org/officeDocument/2006/relationships/image" Target="media/31af4fe7871f6e9af127395faf5d8a697ba3b1e4.jpg"/><Relationship Id="rId13" Type="http://schemas.openxmlformats.org/officeDocument/2006/relationships/image" Target="media/8626bba438dcd3bde489f046f1eeb60f63a65f00.jpg"/><Relationship Id="rId14" Type="http://schemas.openxmlformats.org/officeDocument/2006/relationships/image" Target="media/7e6639c01957fd0097edde2c7e73a8f6779aa11b.jpg"/><Relationship Id="rId15" Type="http://schemas.openxmlformats.org/officeDocument/2006/relationships/image" Target="media/c4a64fd2eeddd31b4e8d8a1f9b9e601cd5f3655d.jpg"/><Relationship Id="rId16" Type="http://schemas.openxmlformats.org/officeDocument/2006/relationships/image" Target="media/c20e93dc75fceed26b251a82d588e47d09e98c4b.jpg"/><Relationship Id="rId17" Type="http://schemas.openxmlformats.org/officeDocument/2006/relationships/image" Target="media/8e99f17a1c09df544969f50ee405baa09635cb05.jpg"/><Relationship Id="rId18" Type="http://schemas.openxmlformats.org/officeDocument/2006/relationships/image" Target="media/731078282ecbb4509afce18fe56ee60fe02145ef.jpg"/><Relationship Id="rId19" Type="http://schemas.openxmlformats.org/officeDocument/2006/relationships/image" Target="media/06d20909fb282a76daeb792c4b443239ebdbfaed.jpg"/><Relationship Id="rId20" Type="http://schemas.openxmlformats.org/officeDocument/2006/relationships/image" Target="media/bb9358ed70973944b8f8a3f1a2f621f5d34ef0e4.jpg"/><Relationship Id="rId21" Type="http://schemas.openxmlformats.org/officeDocument/2006/relationships/image" Target="media/4cf833f90394c6869b4d58754defe79d5e8fa02f.jpg"/><Relationship Id="rId22" Type="http://schemas.openxmlformats.org/officeDocument/2006/relationships/image" Target="media/2946e6d1c367feb6d0f377cd414cc951bf94f890.jp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2026-04-09T05:41:17.502Z</dcterms:created>
  <dcterms:modified xsi:type="dcterms:W3CDTF">2026-04-09T05:41:17.543Z</dcterms:modified>
</cp:coreProperties>
</file>

<file path=docProps/custom.xml><?xml version="1.0" encoding="utf-8"?>
<Properties xmlns="http://schemas.openxmlformats.org/officeDocument/2006/custom-properties" xmlns:vt="http://schemas.openxmlformats.org/officeDocument/2006/docPropsVTypes"/>
</file>