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4F585" w14:textId="77777777" w:rsidR="00552B8B" w:rsidRDefault="00552B8B">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810" w:type="dxa"/>
        <w:tblInd w:w="0" w:type="dxa"/>
        <w:tblLayout w:type="fixed"/>
        <w:tblLook w:val="01E0" w:firstRow="1" w:lastRow="1" w:firstColumn="1" w:lastColumn="1" w:noHBand="0" w:noVBand="0"/>
      </w:tblPr>
      <w:tblGrid>
        <w:gridCol w:w="4945"/>
        <w:gridCol w:w="4865"/>
      </w:tblGrid>
      <w:tr w:rsidR="00552B8B" w14:paraId="1CAF8306" w14:textId="77777777" w:rsidTr="00552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10" w:type="dxa"/>
            <w:gridSpan w:val="2"/>
          </w:tcPr>
          <w:p w14:paraId="5F9BB4C6" w14:textId="77777777" w:rsidR="00552B8B" w:rsidRDefault="00000000">
            <w:pPr>
              <w:pBdr>
                <w:top w:val="nil"/>
                <w:left w:val="nil"/>
                <w:bottom w:val="nil"/>
                <w:right w:val="nil"/>
                <w:between w:val="nil"/>
              </w:pBdr>
              <w:spacing w:after="360"/>
              <w:jc w:val="center"/>
              <w:rPr>
                <w:color w:val="000000"/>
                <w:sz w:val="48"/>
                <w:szCs w:val="48"/>
              </w:rPr>
            </w:pPr>
            <w:r>
              <w:rPr>
                <w:b w:val="0"/>
                <w:bCs w:val="0"/>
                <w:sz w:val="48"/>
                <w:szCs w:val="48"/>
              </w:rPr>
              <w:t>ACLAS (Adaptive Coding Lifecycle Analytics System)</w:t>
            </w:r>
          </w:p>
          <w:p w14:paraId="7372F860" w14:textId="77777777" w:rsidR="00552B8B" w:rsidRDefault="00552B8B"/>
        </w:tc>
      </w:tr>
      <w:tr w:rsidR="00552B8B" w14:paraId="2B1DE260" w14:textId="77777777" w:rsidTr="00552B8B">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5" w:type="dxa"/>
          </w:tcPr>
          <w:p w14:paraId="1442324F" w14:textId="77777777" w:rsidR="00552B8B" w:rsidRDefault="00000000">
            <w:pPr>
              <w:widowControl w:val="0"/>
              <w:pBdr>
                <w:top w:val="nil"/>
                <w:left w:val="nil"/>
                <w:bottom w:val="nil"/>
                <w:right w:val="nil"/>
                <w:between w:val="nil"/>
              </w:pBdr>
              <w:spacing w:after="240"/>
              <w:jc w:val="center"/>
              <w:rPr>
                <w:color w:val="000000"/>
                <w:sz w:val="24"/>
                <w:szCs w:val="24"/>
              </w:rPr>
            </w:pPr>
            <w:bookmarkStart w:id="0" w:name="bookmark=id.ox94dhjzwb7l" w:colFirst="0" w:colLast="0"/>
            <w:bookmarkEnd w:id="0"/>
            <w:r>
              <w:rPr>
                <w:b w:val="0"/>
                <w:bCs w:val="0"/>
                <w:color w:val="000000"/>
                <w:sz w:val="24"/>
                <w:szCs w:val="24"/>
              </w:rPr>
              <w:t>Manthan Sankpal</w:t>
            </w:r>
            <w:r>
              <w:rPr>
                <w:b w:val="0"/>
                <w:bCs w:val="0"/>
                <w:color w:val="000000"/>
                <w:sz w:val="24"/>
                <w:szCs w:val="24"/>
              </w:rPr>
              <w:br/>
            </w:r>
            <w:r>
              <w:rPr>
                <w:b w:val="0"/>
                <w:bCs w:val="0"/>
                <w:i/>
                <w:iCs/>
                <w:color w:val="000000"/>
                <w:sz w:val="24"/>
                <w:szCs w:val="24"/>
              </w:rPr>
              <w:t xml:space="preserve">F.Y. MCA Student at </w:t>
            </w:r>
            <w:proofErr w:type="spellStart"/>
            <w:r>
              <w:rPr>
                <w:b w:val="0"/>
                <w:bCs w:val="0"/>
                <w:i/>
                <w:iCs/>
                <w:color w:val="000000"/>
                <w:sz w:val="24"/>
                <w:szCs w:val="24"/>
              </w:rPr>
              <w:t>PCCoE</w:t>
            </w:r>
            <w:proofErr w:type="spellEnd"/>
            <w:r>
              <w:rPr>
                <w:b w:val="0"/>
                <w:bCs w:val="0"/>
                <w:color w:val="000000"/>
                <w:sz w:val="24"/>
                <w:szCs w:val="24"/>
              </w:rPr>
              <w:br/>
              <w:t>manthansankpal.vijay@email.com</w:t>
            </w:r>
          </w:p>
        </w:tc>
        <w:tc>
          <w:tcPr>
            <w:cnfStyle w:val="000100000000" w:firstRow="0" w:lastRow="0" w:firstColumn="0" w:lastColumn="1" w:oddVBand="0" w:evenVBand="0" w:oddHBand="0" w:evenHBand="0" w:firstRowFirstColumn="0" w:firstRowLastColumn="0" w:lastRowFirstColumn="0" w:lastRowLastColumn="0"/>
            <w:tcW w:w="4865" w:type="dxa"/>
          </w:tcPr>
          <w:p w14:paraId="4A90ABDC" w14:textId="77777777" w:rsidR="00552B8B" w:rsidRDefault="00000000">
            <w:pPr>
              <w:widowControl w:val="0"/>
              <w:pBdr>
                <w:top w:val="nil"/>
                <w:left w:val="nil"/>
                <w:bottom w:val="nil"/>
                <w:right w:val="nil"/>
                <w:between w:val="nil"/>
              </w:pBdr>
              <w:spacing w:after="240"/>
              <w:jc w:val="center"/>
              <w:rPr>
                <w:color w:val="000000"/>
                <w:sz w:val="24"/>
                <w:szCs w:val="24"/>
              </w:rPr>
            </w:pPr>
            <w:r>
              <w:rPr>
                <w:b w:val="0"/>
                <w:bCs w:val="0"/>
                <w:sz w:val="24"/>
                <w:szCs w:val="24"/>
              </w:rPr>
              <w:t xml:space="preserve">Ashwini </w:t>
            </w:r>
            <w:proofErr w:type="spellStart"/>
            <w:r>
              <w:rPr>
                <w:b w:val="0"/>
                <w:bCs w:val="0"/>
                <w:sz w:val="24"/>
                <w:szCs w:val="24"/>
              </w:rPr>
              <w:t>Ladekar</w:t>
            </w:r>
            <w:proofErr w:type="spellEnd"/>
            <w:r>
              <w:rPr>
                <w:b w:val="0"/>
                <w:bCs w:val="0"/>
                <w:color w:val="000000"/>
                <w:sz w:val="24"/>
                <w:szCs w:val="24"/>
              </w:rPr>
              <w:br/>
            </w:r>
            <w:r>
              <w:rPr>
                <w:b w:val="0"/>
                <w:bCs w:val="0"/>
                <w:i/>
                <w:iCs/>
                <w:sz w:val="24"/>
                <w:szCs w:val="24"/>
              </w:rPr>
              <w:t>Head of Department</w:t>
            </w:r>
            <w:r>
              <w:rPr>
                <w:b w:val="0"/>
                <w:bCs w:val="0"/>
                <w:i/>
                <w:iCs/>
                <w:color w:val="000000"/>
                <w:sz w:val="24"/>
                <w:szCs w:val="24"/>
              </w:rPr>
              <w:t xml:space="preserve"> at </w:t>
            </w:r>
            <w:proofErr w:type="spellStart"/>
            <w:r>
              <w:rPr>
                <w:b w:val="0"/>
                <w:bCs w:val="0"/>
                <w:i/>
                <w:iCs/>
                <w:color w:val="000000"/>
                <w:sz w:val="24"/>
                <w:szCs w:val="24"/>
              </w:rPr>
              <w:t>PCCoE</w:t>
            </w:r>
            <w:proofErr w:type="spellEnd"/>
            <w:r>
              <w:rPr>
                <w:b w:val="0"/>
                <w:bCs w:val="0"/>
                <w:color w:val="000000"/>
                <w:sz w:val="24"/>
                <w:szCs w:val="24"/>
              </w:rPr>
              <w:br/>
            </w:r>
            <w:r>
              <w:rPr>
                <w:b w:val="0"/>
                <w:bCs w:val="0"/>
                <w:sz w:val="24"/>
                <w:szCs w:val="24"/>
              </w:rPr>
              <w:t>ashvini.ladekar@pccoepune.org</w:t>
            </w:r>
          </w:p>
        </w:tc>
      </w:tr>
    </w:tbl>
    <w:p w14:paraId="34825358" w14:textId="77777777" w:rsidR="00552B8B" w:rsidRDefault="00552B8B"/>
    <w:p w14:paraId="06C421FA" w14:textId="77777777" w:rsidR="00552B8B" w:rsidRDefault="00552B8B">
      <w:pPr>
        <w:sectPr w:rsidR="00552B8B">
          <w:footerReference w:type="first" r:id="rId7"/>
          <w:pgSz w:w="12240" w:h="15840"/>
          <w:pgMar w:top="1440" w:right="1210" w:bottom="1440" w:left="1210" w:header="720" w:footer="720" w:gutter="0"/>
          <w:pgNumType w:start="1"/>
          <w:cols w:space="720"/>
          <w:titlePg/>
        </w:sectPr>
      </w:pPr>
    </w:p>
    <w:p w14:paraId="2D58207B" w14:textId="77777777" w:rsidR="00552B8B" w:rsidRDefault="00000000">
      <w:pPr>
        <w:pStyle w:val="Heading2"/>
      </w:pPr>
      <w:r>
        <w:t>Research Foundation: How These Papers Provide the Theoretical and Empirical Base for ACLAS</w:t>
      </w:r>
    </w:p>
    <w:p w14:paraId="28E2CC0D" w14:textId="77777777" w:rsidR="00552B8B" w:rsidRDefault="00000000">
      <w:r>
        <w:rPr>
          <w:b/>
          <w:bCs/>
        </w:rPr>
        <w:t>ACLAS</w:t>
      </w:r>
      <w:r>
        <w:t xml:space="preserve"> (Adaptive Coding Lifecycle Analytics System) is a self-hosted, real-time developer productivity and affective analytics platform. It continuously monitors keystroke dynamics, file navigation, idle/active time, compilation/build events, and error patterns via 30-second heartbeats from a VS Code extension, then computes a proprietary stress score and </w:t>
      </w:r>
      <w:proofErr w:type="spellStart"/>
      <w:r>
        <w:t>visualises</w:t>
      </w:r>
      <w:proofErr w:type="spellEnd"/>
      <w:r>
        <w:t xml:space="preserve"> affective states on a modern dashboard. ACLAS is deliberately grounded in four decades of empirical research from computer science education, software engineering, and human-computer interaction. The five research papers in the repository’s </w:t>
      </w:r>
      <w:r>
        <w:rPr>
          <w:i/>
          <w:iCs/>
        </w:rPr>
        <w:t>/Research Papers</w:t>
      </w:r>
      <w:r>
        <w:t xml:space="preserve"> folder directly inspired and justified every major component: the heartbeat telemetry, keystroke/activity logging, repeated-error weighting, build-failure analytics, and the stress/frustration scoring algorithm. Below is a detailed mapping of each paper—including methodology highlights, core empirical findings, direct quotations, and explicit links to ACLAS features and code.</w:t>
      </w:r>
    </w:p>
    <w:p w14:paraId="1FBADF7F" w14:textId="77777777" w:rsidR="00552B8B" w:rsidRDefault="00000000">
      <w:r>
        <w:rPr>
          <w:b/>
          <w:bCs/>
        </w:rPr>
        <w:t>[1]</w:t>
      </w:r>
      <w:r>
        <w:t xml:space="preserve"> M. C. Jadud, “An exploration of novice compilation </w:t>
      </w:r>
      <w:proofErr w:type="spellStart"/>
      <w:r>
        <w:t>behaviour</w:t>
      </w:r>
      <w:proofErr w:type="spellEnd"/>
      <w:r>
        <w:t xml:space="preserve"> in </w:t>
      </w:r>
      <w:proofErr w:type="spellStart"/>
      <w:r>
        <w:t>BlueJ</w:t>
      </w:r>
      <w:proofErr w:type="spellEnd"/>
      <w:r>
        <w:t xml:space="preserve">,” in </w:t>
      </w:r>
      <w:r>
        <w:rPr>
          <w:i/>
          <w:iCs/>
        </w:rPr>
        <w:t>Proc. 11th Annu. Conf. Innovation and Technology in Computer Science Education (</w:t>
      </w:r>
      <w:proofErr w:type="spellStart"/>
      <w:r>
        <w:rPr>
          <w:i/>
          <w:iCs/>
        </w:rPr>
        <w:t>ITiCSE</w:t>
      </w:r>
      <w:proofErr w:type="spellEnd"/>
      <w:r>
        <w:rPr>
          <w:i/>
          <w:iCs/>
        </w:rPr>
        <w:t>)</w:t>
      </w:r>
      <w:r>
        <w:t>, Bologna, Italy, 2006, pp. 346–350.</w:t>
      </w:r>
    </w:p>
    <w:p w14:paraId="5F1CDDA2" w14:textId="77777777" w:rsidR="00552B8B" w:rsidRDefault="00000000">
      <w:r>
        <w:rPr>
          <w:b/>
          <w:bCs/>
        </w:rPr>
        <w:t>[2]</w:t>
      </w:r>
      <w:r>
        <w:t xml:space="preserve"> M. C. Jadud, “An exploration of novice compilation </w:t>
      </w:r>
      <w:proofErr w:type="spellStart"/>
      <w:r>
        <w:t>behaviour</w:t>
      </w:r>
      <w:proofErr w:type="spellEnd"/>
      <w:r>
        <w:t xml:space="preserve"> in </w:t>
      </w:r>
      <w:proofErr w:type="spellStart"/>
      <w:r>
        <w:t>BlueJ</w:t>
      </w:r>
      <w:proofErr w:type="spellEnd"/>
      <w:r>
        <w:t xml:space="preserve">,” Ph.D. dissertation, Dept. </w:t>
      </w:r>
      <w:proofErr w:type="spellStart"/>
      <w:r>
        <w:t>Comput</w:t>
      </w:r>
      <w:proofErr w:type="spellEnd"/>
      <w:r>
        <w:t>. Sci., Univ. Kent, Canterbury, U.K., 2006.</w:t>
      </w:r>
    </w:p>
    <w:p w14:paraId="716F692A" w14:textId="77777777" w:rsidR="00552B8B" w:rsidRDefault="00000000">
      <w:r>
        <w:rPr>
          <w:b/>
          <w:bCs/>
        </w:rPr>
        <w:t>Key Findings &amp; Relevance</w:t>
      </w:r>
    </w:p>
    <w:p w14:paraId="5A225DE0" w14:textId="77777777" w:rsidR="00552B8B" w:rsidRDefault="00000000">
      <w:r>
        <w:t xml:space="preserve">Jadud pioneered the systematic instrumentation of novice programmers’ edit–compile–debug cycles. Using </w:t>
      </w:r>
      <w:proofErr w:type="spellStart"/>
      <w:r>
        <w:t>BlueJ</w:t>
      </w:r>
      <w:proofErr w:type="spellEnd"/>
      <w:r>
        <w:t xml:space="preserve">, he collected fine-grained data on thousands of </w:t>
      </w:r>
      <w:proofErr w:type="gramStart"/>
      <w:r>
        <w:t>compilation</w:t>
      </w:r>
      <w:proofErr w:type="gramEnd"/>
      <w:r>
        <w:t xml:space="preserve"> attempts and demonstrated that novices spend a large proportion of their time in short, repetitive failure loops. The conference paper ([1]) presents the core methodology and initial results; the full 268-page dissertation ([2]) provides the complete dataset, statistical models, and deeper analysis of error patterns and learning trajectories.</w:t>
      </w:r>
    </w:p>
    <w:p w14:paraId="737850AF" w14:textId="77777777" w:rsidR="00552B8B" w:rsidRDefault="00000000">
      <w:r>
        <w:rPr>
          <w:b/>
          <w:bCs/>
        </w:rPr>
        <w:t>Direct Contribution to ACLAS</w:t>
      </w:r>
    </w:p>
    <w:p w14:paraId="69BC4282" w14:textId="77777777" w:rsidR="00552B8B" w:rsidRDefault="00000000">
      <w:r>
        <w:t xml:space="preserve">- The </w:t>
      </w:r>
      <w:r>
        <w:rPr>
          <w:b/>
          <w:bCs/>
        </w:rPr>
        <w:t>real-time heartbeat mechanism</w:t>
      </w:r>
      <w:r>
        <w:t xml:space="preserve"> (data transmitted every 30 seconds) is a direct </w:t>
      </w:r>
      <w:proofErr w:type="spellStart"/>
      <w:r>
        <w:t>modernisation</w:t>
      </w:r>
      <w:proofErr w:type="spellEnd"/>
      <w:r>
        <w:t xml:space="preserve"> of Jadud’s </w:t>
      </w:r>
      <w:proofErr w:type="spellStart"/>
      <w:r>
        <w:t>BlueJ</w:t>
      </w:r>
      <w:proofErr w:type="spellEnd"/>
      <w:r>
        <w:t xml:space="preserve"> instrumentation, now implemented in TypeScript for VS Code (</w:t>
      </w:r>
      <w:proofErr w:type="spellStart"/>
      <w:r>
        <w:rPr>
          <w:rFonts w:ascii="Courier New" w:eastAsia="Courier New" w:hAnsi="Courier New" w:cs="Courier New"/>
        </w:rPr>
        <w:t>aclas</w:t>
      </w:r>
      <w:proofErr w:type="spellEnd"/>
      <w:r>
        <w:rPr>
          <w:rFonts w:ascii="Courier New" w:eastAsia="Courier New" w:hAnsi="Courier New" w:cs="Courier New"/>
        </w:rPr>
        <w:t>-</w:t>
      </w:r>
      <w:proofErr w:type="spellStart"/>
      <w:r>
        <w:rPr>
          <w:rFonts w:ascii="Courier New" w:eastAsia="Courier New" w:hAnsi="Courier New" w:cs="Courier New"/>
        </w:rPr>
        <w:t>vscode</w:t>
      </w:r>
      <w:proofErr w:type="spellEnd"/>
      <w:r>
        <w:rPr>
          <w:rFonts w:ascii="Courier New" w:eastAsia="Courier New" w:hAnsi="Courier New" w:cs="Courier New"/>
        </w:rPr>
        <w:t>-master/</w:t>
      </w:r>
      <w:proofErr w:type="spellStart"/>
      <w:r>
        <w:rPr>
          <w:rFonts w:ascii="Courier New" w:eastAsia="Courier New" w:hAnsi="Courier New" w:cs="Courier New"/>
        </w:rPr>
        <w:t>src</w:t>
      </w:r>
      <w:proofErr w:type="spellEnd"/>
      <w:r>
        <w:rPr>
          <w:rFonts w:ascii="Courier New" w:eastAsia="Courier New" w:hAnsi="Courier New" w:cs="Courier New"/>
        </w:rPr>
        <w:t>/</w:t>
      </w:r>
      <w:proofErr w:type="spellStart"/>
      <w:r>
        <w:rPr>
          <w:rFonts w:ascii="Courier New" w:eastAsia="Courier New" w:hAnsi="Courier New" w:cs="Courier New"/>
        </w:rPr>
        <w:t>heartbeat.ts</w:t>
      </w:r>
      <w:proofErr w:type="spellEnd"/>
      <w:r>
        <w:t>).</w:t>
      </w:r>
      <w:r>
        <w:br/>
        <w:t>- Tracking of keystrokes, file switches, idle/active time, and compilation events mirrors Jadud’s logging of micro-</w:t>
      </w:r>
      <w:proofErr w:type="spellStart"/>
      <w:r>
        <w:t>behaviours</w:t>
      </w:r>
      <w:proofErr w:type="spellEnd"/>
      <w:r>
        <w:t>.</w:t>
      </w:r>
      <w:r>
        <w:br/>
        <w:t>- Quote from [2]: “The hidden interactions between students learning to program and their compiler provide a rich source of material for interesting stories.” ACLAS makes these “hidden interactions” visible and actionable for any developer.</w:t>
      </w:r>
    </w:p>
    <w:p w14:paraId="765055A8" w14:textId="77777777" w:rsidR="00552B8B" w:rsidRDefault="00000000">
      <w:r>
        <w:rPr>
          <w:b/>
          <w:bCs/>
        </w:rPr>
        <w:t>[3]</w:t>
      </w:r>
      <w:r>
        <w:t xml:space="preserve"> B. A. Becker, “A new metric to quantify repeated compiler errors for novice programmers,” in </w:t>
      </w:r>
      <w:r>
        <w:rPr>
          <w:i/>
          <w:iCs/>
        </w:rPr>
        <w:t>Proc. 21st ACM Conf. Innovation and Technology in Computer Science Education (</w:t>
      </w:r>
      <w:proofErr w:type="spellStart"/>
      <w:r>
        <w:rPr>
          <w:i/>
          <w:iCs/>
        </w:rPr>
        <w:t>ITiCSE</w:t>
      </w:r>
      <w:proofErr w:type="spellEnd"/>
      <w:r>
        <w:rPr>
          <w:i/>
          <w:iCs/>
        </w:rPr>
        <w:t>)</w:t>
      </w:r>
      <w:r>
        <w:t xml:space="preserve">, Arequipa, Peru, 2016, pp. 296–301, </w:t>
      </w:r>
      <w:proofErr w:type="spellStart"/>
      <w:r>
        <w:t>doi</w:t>
      </w:r>
      <w:proofErr w:type="spellEnd"/>
      <w:r>
        <w:t>: 10.1145/2899415.2899463.</w:t>
      </w:r>
    </w:p>
    <w:p w14:paraId="02F30579" w14:textId="77777777" w:rsidR="00552B8B" w:rsidRDefault="00000000">
      <w:r>
        <w:rPr>
          <w:b/>
          <w:bCs/>
        </w:rPr>
        <w:t>Key Findings &amp; Relevance</w:t>
      </w:r>
    </w:p>
    <w:p w14:paraId="402594C0" w14:textId="77777777" w:rsidR="00552B8B" w:rsidRDefault="00000000">
      <w:r>
        <w:t xml:space="preserve">Becker introduced the </w:t>
      </w:r>
      <w:r>
        <w:rPr>
          <w:b/>
          <w:bCs/>
        </w:rPr>
        <w:t>Repeated Error Density (RED)</w:t>
      </w:r>
      <w:r>
        <w:t xml:space="preserve"> metric, demonstrating that students who repeatedly commit the same compiler error (especially consecutively) show significantly higher struggle and lower learning gains. RED was shown to be more robust than Jadud’s earlier Error Quotient because it accounts for session length and is suitable for real-time analysis.</w:t>
      </w:r>
    </w:p>
    <w:p w14:paraId="7CC86084" w14:textId="77777777" w:rsidR="00552B8B" w:rsidRDefault="00000000">
      <w:r>
        <w:rPr>
          <w:b/>
          <w:bCs/>
        </w:rPr>
        <w:t>Direct Contribution to ACLAS</w:t>
      </w:r>
    </w:p>
    <w:p w14:paraId="2E2BA5D6" w14:textId="77777777" w:rsidR="00552B8B" w:rsidRDefault="00000000">
      <w:r>
        <w:t xml:space="preserve">- Forms the </w:t>
      </w:r>
      <w:r>
        <w:rPr>
          <w:b/>
          <w:bCs/>
        </w:rPr>
        <w:t>mathematical core</w:t>
      </w:r>
      <w:r>
        <w:t xml:space="preserve"> of ACLAS’s Stress Score algorithm (implemented in </w:t>
      </w:r>
      <w:proofErr w:type="spellStart"/>
      <w:r>
        <w:rPr>
          <w:rFonts w:ascii="Courier New" w:eastAsia="Courier New" w:hAnsi="Courier New" w:cs="Courier New"/>
        </w:rPr>
        <w:t>aclas_backend</w:t>
      </w:r>
      <w:proofErr w:type="spellEnd"/>
      <w:r>
        <w:rPr>
          <w:rFonts w:ascii="Courier New" w:eastAsia="Courier New" w:hAnsi="Courier New" w:cs="Courier New"/>
        </w:rPr>
        <w:t>/</w:t>
      </w:r>
      <w:proofErr w:type="spellStart"/>
      <w:r>
        <w:rPr>
          <w:rFonts w:ascii="Courier New" w:eastAsia="Courier New" w:hAnsi="Courier New" w:cs="Courier New"/>
        </w:rPr>
        <w:t>aclas</w:t>
      </w:r>
      <w:proofErr w:type="spellEnd"/>
      <w:r>
        <w:rPr>
          <w:rFonts w:ascii="Courier New" w:eastAsia="Courier New" w:hAnsi="Courier New" w:cs="Courier New"/>
        </w:rPr>
        <w:t>/analytics/stress_calculator.py</w:t>
      </w:r>
      <w:r>
        <w:t>).</w:t>
      </w:r>
      <w:r>
        <w:br/>
        <w:t xml:space="preserve">- Repeated errors, </w:t>
      </w:r>
      <w:proofErr w:type="spellStart"/>
      <w:r>
        <w:t>undos</w:t>
      </w:r>
      <w:proofErr w:type="spellEnd"/>
      <w:r>
        <w:t>, and rapid error–fix loops receive higher weights (e.g., repeated errors ×3, consecutive repeats ×5) exactly as Becker’s RED metric prescribes.</w:t>
      </w:r>
      <w:r>
        <w:br/>
        <w:t>- This weighting is what allows ACLAS to distinguish simple typos from deep cognitive overload.</w:t>
      </w:r>
    </w:p>
    <w:p w14:paraId="5B85BC36" w14:textId="77777777" w:rsidR="00552B8B" w:rsidRDefault="00000000">
      <w:r>
        <w:rPr>
          <w:b/>
          <w:bCs/>
        </w:rPr>
        <w:t>[4]</w:t>
      </w:r>
      <w:r>
        <w:t xml:space="preserve"> H. Seo, C. Sadowski, S. Elbaum, E. Aftandilian, and R. </w:t>
      </w:r>
      <w:proofErr w:type="spellStart"/>
      <w:r>
        <w:t>Bowdidge</w:t>
      </w:r>
      <w:proofErr w:type="spellEnd"/>
      <w:r>
        <w:t xml:space="preserve">, “Programmers’ build errors: A case study (at Google),” in </w:t>
      </w:r>
      <w:r>
        <w:rPr>
          <w:i/>
          <w:iCs/>
        </w:rPr>
        <w:t>Proc. 36th Int. Conf. Software Engineering (ICSE)</w:t>
      </w:r>
      <w:r>
        <w:t xml:space="preserve">, Hyderabad, India, 2014, pp. 724–734, </w:t>
      </w:r>
      <w:proofErr w:type="spellStart"/>
      <w:r>
        <w:t>doi</w:t>
      </w:r>
      <w:proofErr w:type="spellEnd"/>
      <w:r>
        <w:t>: 10.1145/2568225.2568255.</w:t>
      </w:r>
    </w:p>
    <w:p w14:paraId="349249AC" w14:textId="77777777" w:rsidR="00552B8B" w:rsidRDefault="00000000">
      <w:r>
        <w:rPr>
          <w:b/>
          <w:bCs/>
        </w:rPr>
        <w:lastRenderedPageBreak/>
        <w:t>Key Findings &amp; Relevance</w:t>
      </w:r>
    </w:p>
    <w:p w14:paraId="6B210E18" w14:textId="77777777" w:rsidR="00552B8B" w:rsidRDefault="00000000">
      <w:r>
        <w:t xml:space="preserve">This large-scale industrial study </w:t>
      </w:r>
      <w:proofErr w:type="spellStart"/>
      <w:r>
        <w:t>analysed</w:t>
      </w:r>
      <w:proofErr w:type="spellEnd"/>
      <w:r>
        <w:t xml:space="preserve"> 26.6 million builds by thousands of Google developers over nine months. It revealed that 29.7 % of Java builds and 37.4 % of C++ builds fail, with dependency-related errors dominating. Developers spend substantial time resolving these failures even at a professional level.</w:t>
      </w:r>
    </w:p>
    <w:p w14:paraId="6E269AEA" w14:textId="77777777" w:rsidR="00552B8B" w:rsidRDefault="00552B8B">
      <w:pPr>
        <w:pStyle w:val="Heading3"/>
      </w:pPr>
      <w:bookmarkStart w:id="1" w:name="_heading=h.e8ib16wr51zh" w:colFirst="0" w:colLast="0"/>
      <w:bookmarkEnd w:id="1"/>
    </w:p>
    <w:p w14:paraId="5A11E7EF" w14:textId="77777777" w:rsidR="00552B8B" w:rsidRDefault="00000000">
      <w:r>
        <w:rPr>
          <w:b/>
          <w:bCs/>
        </w:rPr>
        <w:t>Direct Contribution to ACLAS</w:t>
      </w:r>
    </w:p>
    <w:p w14:paraId="7BFBAF6F" w14:textId="77777777" w:rsidR="00552B8B" w:rsidRDefault="00000000">
      <w:r>
        <w:t xml:space="preserve">- Justifies the </w:t>
      </w:r>
      <w:r>
        <w:rPr>
          <w:b/>
          <w:bCs/>
        </w:rPr>
        <w:t>build/compilation failure tracking</w:t>
      </w:r>
      <w:r>
        <w:t xml:space="preserve"> and resolution-time analytics in the dashboard (</w:t>
      </w:r>
      <w:proofErr w:type="spellStart"/>
      <w:r>
        <w:rPr>
          <w:rFonts w:ascii="Courier New" w:eastAsia="Courier New" w:hAnsi="Courier New" w:cs="Courier New"/>
        </w:rPr>
        <w:t>aclas_backend</w:t>
      </w:r>
      <w:proofErr w:type="spellEnd"/>
      <w:r>
        <w:rPr>
          <w:rFonts w:ascii="Courier New" w:eastAsia="Courier New" w:hAnsi="Courier New" w:cs="Courier New"/>
        </w:rPr>
        <w:t>/</w:t>
      </w:r>
      <w:proofErr w:type="spellStart"/>
      <w:r>
        <w:rPr>
          <w:rFonts w:ascii="Courier New" w:eastAsia="Courier New" w:hAnsi="Courier New" w:cs="Courier New"/>
        </w:rPr>
        <w:t>aclas</w:t>
      </w:r>
      <w:proofErr w:type="spellEnd"/>
      <w:r>
        <w:rPr>
          <w:rFonts w:ascii="Courier New" w:eastAsia="Courier New" w:hAnsi="Courier New" w:cs="Courier New"/>
        </w:rPr>
        <w:t>/analytics/views.py</w:t>
      </w:r>
      <w:r>
        <w:t>).</w:t>
      </w:r>
      <w:r>
        <w:br/>
        <w:t>- ACLAS brings Google-scale insights to individual developers and small teams, displaying error frequency, most common error types, and time-to-fix statistics.</w:t>
      </w:r>
    </w:p>
    <w:p w14:paraId="01863FF2" w14:textId="77777777" w:rsidR="00552B8B" w:rsidRDefault="00552B8B">
      <w:pPr>
        <w:pBdr>
          <w:top w:val="nil"/>
          <w:left w:val="nil"/>
          <w:bottom w:val="nil"/>
          <w:right w:val="nil"/>
          <w:between w:val="nil"/>
        </w:pBdr>
        <w:jc w:val="both"/>
      </w:pPr>
    </w:p>
    <w:p w14:paraId="164FDBE4" w14:textId="77777777" w:rsidR="00552B8B" w:rsidRDefault="00000000">
      <w:r>
        <w:rPr>
          <w:b/>
          <w:bCs/>
        </w:rPr>
        <w:t>[5]</w:t>
      </w:r>
      <w:r>
        <w:t xml:space="preserve"> S. C. Müller and T. Fritz, “Stuck and frustrated or in flow and happy: Sensing developers’ emotions and progress,” in </w:t>
      </w:r>
      <w:r>
        <w:rPr>
          <w:i/>
          <w:iCs/>
        </w:rPr>
        <w:t>Proc. 37th Int. Conf. Software Engineering (ICSE)</w:t>
      </w:r>
      <w:r>
        <w:t xml:space="preserve">, Florence, Italy, 2015, pp. 688–699, </w:t>
      </w:r>
      <w:proofErr w:type="spellStart"/>
      <w:r>
        <w:t>doi</w:t>
      </w:r>
      <w:proofErr w:type="spellEnd"/>
      <w:r>
        <w:t>: 10.1109/ICSE.2015.334.</w:t>
      </w:r>
    </w:p>
    <w:p w14:paraId="0754AB72" w14:textId="77777777" w:rsidR="00F52A48" w:rsidRDefault="00F52A48"/>
    <w:p w14:paraId="10B37D6B" w14:textId="77777777" w:rsidR="00552B8B" w:rsidRDefault="00000000">
      <w:r>
        <w:rPr>
          <w:b/>
          <w:bCs/>
        </w:rPr>
        <w:t>Key Findings &amp; Relevance</w:t>
      </w:r>
    </w:p>
    <w:p w14:paraId="50DF2AB4" w14:textId="77777777" w:rsidR="00552B8B" w:rsidRDefault="00000000">
      <w:r>
        <w:t xml:space="preserve">Müller and Fritz demonstrated that developers’ emotional states (frustrated/stuck vs. in flow/happy) can be inferred with high accuracy from interaction data alone—keystrokes, mouse activity, build events, etc.—without invasive sensors. They showed strong correlations between specific </w:t>
      </w:r>
      <w:proofErr w:type="spellStart"/>
      <w:r>
        <w:t>behavioural</w:t>
      </w:r>
      <w:proofErr w:type="spellEnd"/>
      <w:r>
        <w:t xml:space="preserve"> patterns and self-reported frustration or flow states.</w:t>
      </w:r>
    </w:p>
    <w:p w14:paraId="1C761FC2" w14:textId="77777777" w:rsidR="00552B8B" w:rsidRDefault="00000000">
      <w:r>
        <w:rPr>
          <w:b/>
          <w:bCs/>
        </w:rPr>
        <w:t>Direct Contribution to ACLAS</w:t>
      </w:r>
    </w:p>
    <w:p w14:paraId="7AAD27E5" w14:textId="77777777" w:rsidR="00552B8B" w:rsidRDefault="00000000">
      <w:r>
        <w:t xml:space="preserve">- Provides the strongest scientific justification for the </w:t>
      </w:r>
      <w:r>
        <w:rPr>
          <w:b/>
          <w:bCs/>
        </w:rPr>
        <w:t>overall stress/frustration scoring system</w:t>
      </w:r>
      <w:r>
        <w:t xml:space="preserve"> and the affective analytics dashboard.</w:t>
      </w:r>
      <w:r>
        <w:br/>
        <w:t xml:space="preserve">- ACLAS uses rich, non-intrusive </w:t>
      </w:r>
      <w:proofErr w:type="spellStart"/>
      <w:r>
        <w:t>behavioural</w:t>
      </w:r>
      <w:proofErr w:type="spellEnd"/>
      <w:r>
        <w:t xml:space="preserve"> proxies (keystroke dynamics, error frequency, idle time, repeated actions) — precisely the signals the authors recommended for practical deployment.</w:t>
      </w:r>
      <w:r>
        <w:br/>
        <w:t>- Quote from the paper: “Developers’ emotional states can be reliably inferred from interaction patterns.”</w:t>
      </w:r>
    </w:p>
    <w:p w14:paraId="5FE074E6" w14:textId="77777777" w:rsidR="00552B8B" w:rsidRDefault="00000000">
      <w:pPr>
        <w:pStyle w:val="Heading3"/>
      </w:pPr>
      <w:sdt>
        <w:sdtPr>
          <w:tag w:val="goog_rdk_0"/>
          <w:id w:val="-246639857"/>
        </w:sdtPr>
        <w:sdtContent>
          <w:r>
            <w:rPr>
              <w:rFonts w:ascii="Cardo" w:eastAsia="Cardo" w:hAnsi="Cardo" w:cs="Cardo"/>
            </w:rPr>
            <w:t>Summary Table: Research → ACLAS Feature Mapping (Detailed)</w:t>
          </w:r>
        </w:sdtContent>
      </w:sdt>
    </w:p>
    <w:p w14:paraId="3A80BAF5" w14:textId="77777777" w:rsidR="00F52A48" w:rsidRDefault="00F52A48">
      <w:pPr>
        <w:rPr>
          <w:b/>
          <w:bCs/>
        </w:rPr>
      </w:pPr>
    </w:p>
    <w:p w14:paraId="137746BA" w14:textId="77777777" w:rsidR="00F52A48" w:rsidRDefault="00F52A48">
      <w:pPr>
        <w:rPr>
          <w:b/>
          <w:bCs/>
        </w:rPr>
      </w:pPr>
    </w:p>
    <w:p w14:paraId="0E654CE2" w14:textId="77777777" w:rsidR="00F52A48" w:rsidRDefault="00F52A48">
      <w:pPr>
        <w:rPr>
          <w:b/>
          <w:bCs/>
        </w:rPr>
      </w:pPr>
    </w:p>
    <w:p w14:paraId="55307D63" w14:textId="77777777" w:rsidR="00F52A48" w:rsidRDefault="00F52A48">
      <w:pPr>
        <w:rPr>
          <w:b/>
          <w:bCs/>
        </w:rPr>
        <w:sectPr w:rsidR="00F52A48">
          <w:type w:val="continuous"/>
          <w:pgSz w:w="12240" w:h="15840"/>
          <w:pgMar w:top="1440" w:right="1210" w:bottom="1440" w:left="1210" w:header="720" w:footer="720" w:gutter="0"/>
          <w:cols w:num="2" w:space="720" w:equalWidth="0">
            <w:col w:w="4679" w:space="461"/>
            <w:col w:w="4679" w:space="0"/>
          </w:cols>
        </w:sectPr>
      </w:pPr>
    </w:p>
    <w:tbl>
      <w:tblPr>
        <w:tblStyle w:val="TableGridLight"/>
        <w:tblW w:w="9400" w:type="dxa"/>
        <w:tblLayout w:type="fixed"/>
        <w:tblLook w:val="0600" w:firstRow="0" w:lastRow="0" w:firstColumn="0" w:lastColumn="0" w:noHBand="1" w:noVBand="1"/>
      </w:tblPr>
      <w:tblGrid>
        <w:gridCol w:w="600"/>
        <w:gridCol w:w="1400"/>
        <w:gridCol w:w="2400"/>
        <w:gridCol w:w="2600"/>
        <w:gridCol w:w="2400"/>
      </w:tblGrid>
      <w:tr w:rsidR="00552B8B" w14:paraId="3E957192" w14:textId="77777777" w:rsidTr="00F52A48">
        <w:tc>
          <w:tcPr>
            <w:tcW w:w="600" w:type="dxa"/>
          </w:tcPr>
          <w:p w14:paraId="40F18D5F" w14:textId="77777777" w:rsidR="00552B8B" w:rsidRDefault="00000000">
            <w:r>
              <w:rPr>
                <w:b/>
                <w:bCs/>
              </w:rPr>
              <w:t>Ref.</w:t>
            </w:r>
          </w:p>
        </w:tc>
        <w:tc>
          <w:tcPr>
            <w:tcW w:w="1400" w:type="dxa"/>
          </w:tcPr>
          <w:p w14:paraId="0DC94BFB" w14:textId="77777777" w:rsidR="00552B8B" w:rsidRDefault="00000000">
            <w:r>
              <w:rPr>
                <w:b/>
                <w:bCs/>
              </w:rPr>
              <w:t>Paper (Year)</w:t>
            </w:r>
          </w:p>
        </w:tc>
        <w:tc>
          <w:tcPr>
            <w:tcW w:w="2400" w:type="dxa"/>
          </w:tcPr>
          <w:p w14:paraId="7E74A72F" w14:textId="77777777" w:rsidR="00552B8B" w:rsidRDefault="00000000">
            <w:r>
              <w:rPr>
                <w:b/>
                <w:bCs/>
              </w:rPr>
              <w:t>Core Empirical Finding</w:t>
            </w:r>
          </w:p>
        </w:tc>
        <w:tc>
          <w:tcPr>
            <w:tcW w:w="2600" w:type="dxa"/>
          </w:tcPr>
          <w:p w14:paraId="5C3EAF75" w14:textId="77777777" w:rsidR="00552B8B" w:rsidRDefault="00000000">
            <w:r>
              <w:rPr>
                <w:b/>
                <w:bCs/>
              </w:rPr>
              <w:t>Specific ACLAS Features Supported</w:t>
            </w:r>
          </w:p>
        </w:tc>
        <w:tc>
          <w:tcPr>
            <w:tcW w:w="2400" w:type="dxa"/>
          </w:tcPr>
          <w:p w14:paraId="6BDDFF3B" w14:textId="77777777" w:rsidR="00552B8B" w:rsidRDefault="00000000">
            <w:r>
              <w:rPr>
                <w:b/>
                <w:bCs/>
              </w:rPr>
              <w:t>Implementation Detail in ACLAS</w:t>
            </w:r>
          </w:p>
        </w:tc>
      </w:tr>
      <w:tr w:rsidR="00552B8B" w14:paraId="3ABD254A" w14:textId="77777777" w:rsidTr="00F52A48">
        <w:tc>
          <w:tcPr>
            <w:tcW w:w="600" w:type="dxa"/>
          </w:tcPr>
          <w:p w14:paraId="0632C0B0" w14:textId="77777777" w:rsidR="00552B8B" w:rsidRDefault="00000000">
            <w:r>
              <w:t>[1], [2]</w:t>
            </w:r>
          </w:p>
        </w:tc>
        <w:tc>
          <w:tcPr>
            <w:tcW w:w="1400" w:type="dxa"/>
          </w:tcPr>
          <w:p w14:paraId="6416E0D3" w14:textId="77777777" w:rsidR="00552B8B" w:rsidRDefault="00000000">
            <w:r>
              <w:t>Jadud (2006)</w:t>
            </w:r>
          </w:p>
        </w:tc>
        <w:tc>
          <w:tcPr>
            <w:tcW w:w="2400" w:type="dxa"/>
          </w:tcPr>
          <w:p w14:paraId="5CBBE407" w14:textId="77777777" w:rsidR="00552B8B" w:rsidRDefault="00000000">
            <w:r>
              <w:t>Edit–compile–debug cycles &amp; repetitive failure loops</w:t>
            </w:r>
          </w:p>
        </w:tc>
        <w:tc>
          <w:tcPr>
            <w:tcW w:w="2600" w:type="dxa"/>
          </w:tcPr>
          <w:p w14:paraId="2F27D788" w14:textId="77777777" w:rsidR="00552B8B" w:rsidRDefault="00000000">
            <w:r>
              <w:t>Real-time heartbeat (30 s), keystroke logging, file switches, idle/active time, compilation events</w:t>
            </w:r>
          </w:p>
        </w:tc>
        <w:tc>
          <w:tcPr>
            <w:tcW w:w="2400" w:type="dxa"/>
          </w:tcPr>
          <w:p w14:paraId="268440F8" w14:textId="77777777" w:rsidR="00552B8B" w:rsidRDefault="00000000">
            <w:proofErr w:type="spellStart"/>
            <w:r>
              <w:rPr>
                <w:rFonts w:ascii="Courier New" w:eastAsia="Courier New" w:hAnsi="Courier New" w:cs="Courier New"/>
              </w:rPr>
              <w:t>heartbeat.ts</w:t>
            </w:r>
            <w:proofErr w:type="spellEnd"/>
            <w:r>
              <w:t xml:space="preserve"> + backend ingestion pipeline</w:t>
            </w:r>
          </w:p>
        </w:tc>
      </w:tr>
      <w:tr w:rsidR="00552B8B" w14:paraId="4A84DB6A" w14:textId="77777777" w:rsidTr="00F52A48">
        <w:tc>
          <w:tcPr>
            <w:tcW w:w="600" w:type="dxa"/>
          </w:tcPr>
          <w:p w14:paraId="054C4E65" w14:textId="77777777" w:rsidR="00552B8B" w:rsidRDefault="00000000">
            <w:r>
              <w:t>[3]</w:t>
            </w:r>
          </w:p>
        </w:tc>
        <w:tc>
          <w:tcPr>
            <w:tcW w:w="1400" w:type="dxa"/>
          </w:tcPr>
          <w:p w14:paraId="5B68293E" w14:textId="77777777" w:rsidR="00552B8B" w:rsidRDefault="00000000">
            <w:r>
              <w:t>Becker (2016)</w:t>
            </w:r>
          </w:p>
        </w:tc>
        <w:tc>
          <w:tcPr>
            <w:tcW w:w="2400" w:type="dxa"/>
          </w:tcPr>
          <w:p w14:paraId="46032456" w14:textId="77777777" w:rsidR="00552B8B" w:rsidRDefault="00000000">
            <w:r>
              <w:t>Repeated Error Density (RED) metric</w:t>
            </w:r>
          </w:p>
        </w:tc>
        <w:tc>
          <w:tcPr>
            <w:tcW w:w="2600" w:type="dxa"/>
          </w:tcPr>
          <w:p w14:paraId="0195D7E7" w14:textId="77777777" w:rsidR="00552B8B" w:rsidRDefault="00000000">
            <w:r>
              <w:t>Stress Score algorithm (repeated-error &amp; undo weighting)</w:t>
            </w:r>
          </w:p>
        </w:tc>
        <w:tc>
          <w:tcPr>
            <w:tcW w:w="2400" w:type="dxa"/>
          </w:tcPr>
          <w:p w14:paraId="6C887888" w14:textId="77777777" w:rsidR="00552B8B" w:rsidRDefault="00000000">
            <w:r>
              <w:rPr>
                <w:rFonts w:ascii="Courier New" w:eastAsia="Courier New" w:hAnsi="Courier New" w:cs="Courier New"/>
              </w:rPr>
              <w:t>stress_calculator.py</w:t>
            </w:r>
            <w:r>
              <w:t xml:space="preserve"> with RED-inspired weights</w:t>
            </w:r>
          </w:p>
        </w:tc>
      </w:tr>
      <w:tr w:rsidR="00552B8B" w14:paraId="4783E9D3" w14:textId="77777777" w:rsidTr="00F52A48">
        <w:tc>
          <w:tcPr>
            <w:tcW w:w="600" w:type="dxa"/>
          </w:tcPr>
          <w:p w14:paraId="65E24700" w14:textId="77777777" w:rsidR="00552B8B" w:rsidRDefault="00000000">
            <w:r>
              <w:t>[4]</w:t>
            </w:r>
          </w:p>
        </w:tc>
        <w:tc>
          <w:tcPr>
            <w:tcW w:w="1400" w:type="dxa"/>
          </w:tcPr>
          <w:p w14:paraId="34CAAE81" w14:textId="77777777" w:rsidR="00552B8B" w:rsidRDefault="00000000">
            <w:r>
              <w:t xml:space="preserve">Seo </w:t>
            </w:r>
            <w:r>
              <w:rPr>
                <w:i/>
                <w:iCs/>
              </w:rPr>
              <w:t>et al.</w:t>
            </w:r>
            <w:r>
              <w:t xml:space="preserve"> (2014)</w:t>
            </w:r>
          </w:p>
        </w:tc>
        <w:tc>
          <w:tcPr>
            <w:tcW w:w="2400" w:type="dxa"/>
          </w:tcPr>
          <w:p w14:paraId="5E956D18" w14:textId="77777777" w:rsidR="00552B8B" w:rsidRDefault="00000000">
            <w:r>
              <w:t>29.7–37.4 % industrial build failure rate</w:t>
            </w:r>
          </w:p>
        </w:tc>
        <w:tc>
          <w:tcPr>
            <w:tcW w:w="2600" w:type="dxa"/>
          </w:tcPr>
          <w:p w14:paraId="25871094" w14:textId="77777777" w:rsidR="00552B8B" w:rsidRDefault="00000000">
            <w:r>
              <w:t>Build/compilation failure tracking &amp; resolution-time analytics</w:t>
            </w:r>
          </w:p>
        </w:tc>
        <w:tc>
          <w:tcPr>
            <w:tcW w:w="2400" w:type="dxa"/>
          </w:tcPr>
          <w:p w14:paraId="4993D5F5" w14:textId="77777777" w:rsidR="00552B8B" w:rsidRDefault="00000000">
            <w:r>
              <w:t>Dashboard cards &amp; error-type breakdowns</w:t>
            </w:r>
          </w:p>
        </w:tc>
      </w:tr>
      <w:tr w:rsidR="00552B8B" w14:paraId="1E073FB5" w14:textId="77777777" w:rsidTr="00F52A48">
        <w:tc>
          <w:tcPr>
            <w:tcW w:w="600" w:type="dxa"/>
          </w:tcPr>
          <w:p w14:paraId="2AAE2AFB" w14:textId="77777777" w:rsidR="00552B8B" w:rsidRDefault="00000000">
            <w:r>
              <w:t>[5]</w:t>
            </w:r>
          </w:p>
        </w:tc>
        <w:tc>
          <w:tcPr>
            <w:tcW w:w="1400" w:type="dxa"/>
          </w:tcPr>
          <w:p w14:paraId="76B3A52A" w14:textId="77777777" w:rsidR="00552B8B" w:rsidRDefault="00000000">
            <w:r>
              <w:t>Müller &amp; Fritz (2015)</w:t>
            </w:r>
          </w:p>
        </w:tc>
        <w:tc>
          <w:tcPr>
            <w:tcW w:w="2400" w:type="dxa"/>
          </w:tcPr>
          <w:p w14:paraId="64D42F1F" w14:textId="77777777" w:rsidR="00552B8B" w:rsidRDefault="00000000">
            <w:r>
              <w:t>Emotions inferable from interaction data</w:t>
            </w:r>
          </w:p>
        </w:tc>
        <w:tc>
          <w:tcPr>
            <w:tcW w:w="2600" w:type="dxa"/>
          </w:tcPr>
          <w:p w14:paraId="3B20A3A2" w14:textId="77777777" w:rsidR="00552B8B" w:rsidRDefault="00000000">
            <w:r>
              <w:t>Overall stress/frustration scoring + affective analytics</w:t>
            </w:r>
          </w:p>
        </w:tc>
        <w:tc>
          <w:tcPr>
            <w:tcW w:w="2400" w:type="dxa"/>
          </w:tcPr>
          <w:p w14:paraId="6E3262DA" w14:textId="77777777" w:rsidR="00552B8B" w:rsidRDefault="00000000">
            <w:proofErr w:type="spellStart"/>
            <w:r>
              <w:t>Behavioural</w:t>
            </w:r>
            <w:proofErr w:type="spellEnd"/>
            <w:r>
              <w:t xml:space="preserve"> proxies for flow vs. frustration detection</w:t>
            </w:r>
          </w:p>
        </w:tc>
      </w:tr>
    </w:tbl>
    <w:p w14:paraId="4047167B" w14:textId="77777777" w:rsidR="00F52A48" w:rsidRDefault="00F52A48">
      <w:pPr>
        <w:pStyle w:val="Heading2"/>
        <w:sectPr w:rsidR="00F52A48" w:rsidSect="00F52A48">
          <w:type w:val="continuous"/>
          <w:pgSz w:w="12240" w:h="15840"/>
          <w:pgMar w:top="1440" w:right="1210" w:bottom="1440" w:left="1210" w:header="720" w:footer="720" w:gutter="0"/>
          <w:cols w:space="461"/>
        </w:sectPr>
      </w:pPr>
    </w:p>
    <w:p w14:paraId="1723B5A2" w14:textId="3FEF318C" w:rsidR="00552B8B" w:rsidRDefault="00000000">
      <w:pPr>
        <w:pStyle w:val="Heading2"/>
      </w:pPr>
      <w:r>
        <w:t>References</w:t>
      </w:r>
    </w:p>
    <w:p w14:paraId="4FFBC824" w14:textId="77777777" w:rsidR="00552B8B" w:rsidRDefault="00000000">
      <w:r>
        <w:rPr>
          <w:b/>
          <w:bCs/>
        </w:rPr>
        <w:t>[1]</w:t>
      </w:r>
      <w:r>
        <w:t xml:space="preserve"> M. C. Jadud, “An exploration of novice compilation </w:t>
      </w:r>
      <w:proofErr w:type="spellStart"/>
      <w:r>
        <w:t>behaviour</w:t>
      </w:r>
      <w:proofErr w:type="spellEnd"/>
      <w:r>
        <w:t xml:space="preserve"> in </w:t>
      </w:r>
      <w:proofErr w:type="spellStart"/>
      <w:r>
        <w:t>BlueJ</w:t>
      </w:r>
      <w:proofErr w:type="spellEnd"/>
      <w:r>
        <w:t xml:space="preserve">,” in </w:t>
      </w:r>
      <w:r>
        <w:rPr>
          <w:i/>
          <w:iCs/>
        </w:rPr>
        <w:t>Proc. 11th Annu. Conf. Innovation and Technology in Computer Science Education (</w:t>
      </w:r>
      <w:proofErr w:type="spellStart"/>
      <w:r>
        <w:rPr>
          <w:i/>
          <w:iCs/>
        </w:rPr>
        <w:t>ITiCSE</w:t>
      </w:r>
      <w:proofErr w:type="spellEnd"/>
      <w:r>
        <w:rPr>
          <w:i/>
          <w:iCs/>
        </w:rPr>
        <w:t>)</w:t>
      </w:r>
      <w:r>
        <w:t>, Bologna, Italy, 2006, pp. 346–350.</w:t>
      </w:r>
    </w:p>
    <w:p w14:paraId="0939E114" w14:textId="77777777" w:rsidR="00552B8B" w:rsidRDefault="00000000">
      <w:r>
        <w:rPr>
          <w:b/>
          <w:bCs/>
        </w:rPr>
        <w:t>[2]</w:t>
      </w:r>
      <w:r>
        <w:t xml:space="preserve"> M. C. Jadud, “An exploration of novice compilation </w:t>
      </w:r>
      <w:proofErr w:type="spellStart"/>
      <w:r>
        <w:t>behaviour</w:t>
      </w:r>
      <w:proofErr w:type="spellEnd"/>
      <w:r>
        <w:t xml:space="preserve"> in </w:t>
      </w:r>
      <w:proofErr w:type="spellStart"/>
      <w:r>
        <w:t>BlueJ</w:t>
      </w:r>
      <w:proofErr w:type="spellEnd"/>
      <w:r>
        <w:t xml:space="preserve">,” Ph.D. dissertation, Dept. </w:t>
      </w:r>
      <w:proofErr w:type="spellStart"/>
      <w:r>
        <w:t>Comput</w:t>
      </w:r>
      <w:proofErr w:type="spellEnd"/>
      <w:r>
        <w:t>. Sci., Univ. Kent, Canterbury, U.K., 2006.</w:t>
      </w:r>
    </w:p>
    <w:p w14:paraId="0C7C6122" w14:textId="77777777" w:rsidR="00552B8B" w:rsidRDefault="00000000">
      <w:r>
        <w:rPr>
          <w:b/>
          <w:bCs/>
        </w:rPr>
        <w:t>[3]</w:t>
      </w:r>
      <w:r>
        <w:t xml:space="preserve"> B. A. Becker, “A new metric to quantify repeated compiler errors for novice programmers,” in </w:t>
      </w:r>
      <w:r>
        <w:rPr>
          <w:i/>
          <w:iCs/>
        </w:rPr>
        <w:t>Proc. 21st ACM Conf. Innovation and Technology in Computer Science Education (</w:t>
      </w:r>
      <w:proofErr w:type="spellStart"/>
      <w:r>
        <w:rPr>
          <w:i/>
          <w:iCs/>
        </w:rPr>
        <w:t>ITiCSE</w:t>
      </w:r>
      <w:proofErr w:type="spellEnd"/>
      <w:r>
        <w:rPr>
          <w:i/>
          <w:iCs/>
        </w:rPr>
        <w:t>)</w:t>
      </w:r>
      <w:r>
        <w:t xml:space="preserve">, Arequipa, Peru, 2016, pp. 296–301, </w:t>
      </w:r>
      <w:proofErr w:type="spellStart"/>
      <w:r>
        <w:t>doi</w:t>
      </w:r>
      <w:proofErr w:type="spellEnd"/>
      <w:r>
        <w:t>: 10.1145/2899415.2899463.</w:t>
      </w:r>
    </w:p>
    <w:p w14:paraId="2E2464DB" w14:textId="77777777" w:rsidR="00F52A48" w:rsidRDefault="00000000">
      <w:r>
        <w:rPr>
          <w:b/>
          <w:bCs/>
        </w:rPr>
        <w:t>[4]</w:t>
      </w:r>
      <w:r>
        <w:t xml:space="preserve"> H. Seo, C. Sadowski, S. Elbaum, E. Aftandilian, and R. </w:t>
      </w:r>
      <w:proofErr w:type="spellStart"/>
      <w:r>
        <w:t>Bowdidge</w:t>
      </w:r>
      <w:proofErr w:type="spellEnd"/>
      <w:r>
        <w:t xml:space="preserve">, “Programmers’ build errors: A case study </w:t>
      </w:r>
    </w:p>
    <w:p w14:paraId="7276AC06" w14:textId="77777777" w:rsidR="00F52A48" w:rsidRDefault="00F52A48"/>
    <w:p w14:paraId="4C44C014" w14:textId="77777777" w:rsidR="00F52A48" w:rsidRDefault="00F52A48"/>
    <w:p w14:paraId="1AA716EB" w14:textId="4DB24D1A" w:rsidR="00552B8B" w:rsidRDefault="00000000">
      <w:r>
        <w:t xml:space="preserve">(at Google),” in </w:t>
      </w:r>
      <w:r>
        <w:rPr>
          <w:i/>
          <w:iCs/>
        </w:rPr>
        <w:t>Proc. 36th Int. Conf. Software Engineering (ICSE)</w:t>
      </w:r>
      <w:r>
        <w:t xml:space="preserve">, Hyderabad, India, 2014, pp. 724–734, </w:t>
      </w:r>
      <w:proofErr w:type="spellStart"/>
      <w:r>
        <w:t>doi</w:t>
      </w:r>
      <w:proofErr w:type="spellEnd"/>
      <w:r>
        <w:t>: 10.1145/2568225.2568255.</w:t>
      </w:r>
    </w:p>
    <w:p w14:paraId="1726E661" w14:textId="77777777" w:rsidR="00552B8B" w:rsidRDefault="00000000">
      <w:r>
        <w:rPr>
          <w:b/>
          <w:bCs/>
        </w:rPr>
        <w:t>[5]</w:t>
      </w:r>
      <w:r>
        <w:t xml:space="preserve"> S. C. Müller and T. Fritz, “Stuck and frustrated or in flow and happy: Sensing developers’ emotions and progress,” in </w:t>
      </w:r>
      <w:r>
        <w:rPr>
          <w:i/>
          <w:iCs/>
        </w:rPr>
        <w:t>Proc. 37th Int. Conf. Software Engineering (ICSE)</w:t>
      </w:r>
      <w:r>
        <w:t xml:space="preserve">, Florence, Italy, 2015, pp. 688–699, </w:t>
      </w:r>
      <w:proofErr w:type="spellStart"/>
      <w:r>
        <w:t>doi</w:t>
      </w:r>
      <w:proofErr w:type="spellEnd"/>
      <w:r>
        <w:t>: 10.1109/ICSE.2015.334.</w:t>
      </w:r>
    </w:p>
    <w:p w14:paraId="4A60C2C5" w14:textId="77777777" w:rsidR="00552B8B" w:rsidRDefault="00552B8B">
      <w:pPr>
        <w:pBdr>
          <w:top w:val="nil"/>
          <w:left w:val="nil"/>
          <w:bottom w:val="nil"/>
          <w:right w:val="nil"/>
          <w:between w:val="nil"/>
        </w:pBdr>
        <w:jc w:val="both"/>
        <w:rPr>
          <w:color w:val="000000"/>
        </w:rPr>
      </w:pPr>
    </w:p>
    <w:sectPr w:rsidR="00552B8B">
      <w:type w:val="continuous"/>
      <w:pgSz w:w="12240" w:h="15840"/>
      <w:pgMar w:top="1440" w:right="1210" w:bottom="1440" w:left="1210" w:header="720" w:footer="720" w:gutter="0"/>
      <w:cols w:num="2" w:space="720" w:equalWidth="0">
        <w:col w:w="4679" w:space="461"/>
        <w:col w:w="467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9D479" w14:textId="77777777" w:rsidR="004F2EDE" w:rsidRDefault="004F2EDE">
      <w:r>
        <w:separator/>
      </w:r>
    </w:p>
  </w:endnote>
  <w:endnote w:type="continuationSeparator" w:id="0">
    <w:p w14:paraId="0C528730" w14:textId="77777777" w:rsidR="004F2EDE" w:rsidRDefault="004F2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EBB3DE7-5D2F-4649-A513-37619B429C3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rdo">
    <w:charset w:val="00"/>
    <w:family w:val="auto"/>
    <w:pitch w:val="default"/>
    <w:embedRegular r:id="rId2" w:fontKey="{CAC5E553-1DD9-485A-8A3B-34937920D798}"/>
  </w:font>
  <w:font w:name="Calibri">
    <w:panose1 w:val="020F0502020204030204"/>
    <w:charset w:val="00"/>
    <w:family w:val="swiss"/>
    <w:pitch w:val="variable"/>
    <w:sig w:usb0="E4002EFF" w:usb1="C200247B" w:usb2="00000009" w:usb3="00000000" w:csb0="000001FF" w:csb1="00000000"/>
    <w:embedRegular r:id="rId3" w:fontKey="{A4C480C9-0FD8-4EA1-B4B8-E78A6AC00F79}"/>
  </w:font>
  <w:font w:name="Cambria">
    <w:panose1 w:val="02040503050406030204"/>
    <w:charset w:val="00"/>
    <w:family w:val="roman"/>
    <w:pitch w:val="variable"/>
    <w:sig w:usb0="E00006FF" w:usb1="420024FF" w:usb2="02000000" w:usb3="00000000" w:csb0="0000019F" w:csb1="00000000"/>
    <w:embedRegular r:id="rId4" w:fontKey="{E304CCAE-3E29-411F-8AE1-3F9E6CD501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F204F" w14:textId="77777777" w:rsidR="00552B8B" w:rsidRDefault="00552B8B">
    <w:pPr>
      <w:pBdr>
        <w:top w:val="nil"/>
        <w:left w:val="nil"/>
        <w:bottom w:val="nil"/>
        <w:right w:val="nil"/>
        <w:between w:val="nil"/>
      </w:pBdr>
      <w:tabs>
        <w:tab w:val="center" w:pos="4320"/>
        <w:tab w:val="right" w:pos="8640"/>
      </w:tabs>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5B9C4" w14:textId="77777777" w:rsidR="004F2EDE" w:rsidRDefault="004F2EDE">
      <w:r>
        <w:separator/>
      </w:r>
    </w:p>
  </w:footnote>
  <w:footnote w:type="continuationSeparator" w:id="0">
    <w:p w14:paraId="465759E6" w14:textId="77777777" w:rsidR="004F2EDE" w:rsidRDefault="004F2E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B8B"/>
    <w:rsid w:val="004F2EDE"/>
    <w:rsid w:val="00552B8B"/>
    <w:rsid w:val="005E70A3"/>
    <w:rsid w:val="00F52A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2522B"/>
  <w15:docId w15:val="{B649EB15-722E-4DE5-BA0C-159524C2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120"/>
      <w:jc w:val="center"/>
      <w:outlineLvl w:val="0"/>
    </w:pPr>
    <w:rPr>
      <w:smallCaps/>
    </w:rPr>
  </w:style>
  <w:style w:type="paragraph" w:styleId="Heading2">
    <w:name w:val="heading 2"/>
    <w:basedOn w:val="Normal"/>
    <w:next w:val="Normal"/>
    <w:uiPriority w:val="9"/>
    <w:unhideWhenUsed/>
    <w:qFormat/>
    <w:pPr>
      <w:keepNext/>
      <w:keepLines/>
      <w:spacing w:before="180" w:after="60"/>
      <w:outlineLvl w:val="1"/>
    </w:pPr>
    <w:rPr>
      <w:i/>
      <w:iCs/>
    </w:rPr>
  </w:style>
  <w:style w:type="paragraph" w:styleId="Heading3">
    <w:name w:val="heading 3"/>
    <w:basedOn w:val="Normal"/>
    <w:next w:val="Normal"/>
    <w:uiPriority w:val="9"/>
    <w:unhideWhenUsed/>
    <w:qFormat/>
    <w:pPr>
      <w:jc w:val="both"/>
      <w:outlineLvl w:val="2"/>
    </w:pPr>
    <w:rPr>
      <w:sz w:val="18"/>
      <w:szCs w:val="1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0"/>
    <w:tblPr>
      <w:tblStyleRowBandSize w:val="1"/>
      <w:tblStyleColBandSize w:val="1"/>
    </w:tblPr>
  </w:style>
  <w:style w:type="table" w:styleId="TableGridLight">
    <w:name w:val="Grid Table Light"/>
    <w:basedOn w:val="TableNormal"/>
    <w:uiPriority w:val="40"/>
    <w:rsid w:val="00F52A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1Qti3MekWBD9Z8CCpuLt3EG39w==">CgMxLjAaEgoBMBINCgsIB0IHEgVDYXJkbzIPaWQub3g5NGRoanp3YjdsMg5oLmU4aWIxNndyNTF6aDIOaC5qNXdmZXd6ZHR1NXI4AHIhMXhkWXhFTlFzUVdaZWtrZm41MU4wTUZxV2pyU05pUVFp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1175</Words>
  <Characters>6700</Characters>
  <Application>Microsoft Office Word</Application>
  <DocSecurity>0</DocSecurity>
  <Lines>55</Lines>
  <Paragraphs>15</Paragraphs>
  <ScaleCrop>false</ScaleCrop>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Manthan V.S.</cp:lastModifiedBy>
  <cp:revision>2</cp:revision>
  <dcterms:created xsi:type="dcterms:W3CDTF">2026-04-08T17:25:00Z</dcterms:created>
  <dcterms:modified xsi:type="dcterms:W3CDTF">2026-04-08T17:29:00Z</dcterms:modified>
</cp:coreProperties>
</file>