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100"/>
        <w:jc w:val="center"/>
        <w:rPr>
          <w:rFonts w:ascii="Times New Roman" w:hAnsi="Times New Roman" w:eastAsia="Times New Roman" w:cs="Times New Roman"/>
          <w:b/>
          <w:sz w:val="40"/>
          <w:szCs w:val="40"/>
        </w:rPr>
      </w:pPr>
      <w:r>
        <w:rPr>
          <w:rFonts w:eastAsia="Times New Roman" w:cs="Times New Roman" w:ascii="Times New Roman" w:hAnsi="Times New Roman"/>
          <w:b/>
          <w:sz w:val="40"/>
          <w:szCs w:val="40"/>
        </w:rPr>
        <w:t>Synopsis Report</w:t>
      </w:r>
    </w:p>
    <w:p>
      <w:pPr>
        <w:pStyle w:val="Normal"/>
        <w:spacing w:before="100" w:after="100"/>
        <w:jc w:val="center"/>
        <w:rPr>
          <w:rFonts w:ascii="Times New Roman" w:hAnsi="Times New Roman" w:eastAsia="Times New Roman" w:cs="Times New Roman"/>
          <w:b/>
          <w:sz w:val="40"/>
          <w:szCs w:val="40"/>
        </w:rPr>
      </w:pPr>
      <w:r>
        <w:rPr>
          <w:rFonts w:eastAsia="Times New Roman" w:cs="Times New Roman" w:ascii="Times New Roman" w:hAnsi="Times New Roman"/>
          <w:b/>
          <w:sz w:val="40"/>
          <w:szCs w:val="40"/>
        </w:rPr>
        <w:t>On</w:t>
      </w:r>
    </w:p>
    <w:p>
      <w:pPr>
        <w:pStyle w:val="Normal"/>
        <w:spacing w:before="100" w:after="100"/>
        <w:jc w:val="center"/>
        <w:rPr>
          <w:rFonts w:ascii="Times New Roman" w:hAnsi="Times New Roman" w:eastAsia="Times New Roman" w:cs="Times New Roman"/>
          <w:sz w:val="40"/>
          <w:szCs w:val="40"/>
        </w:rPr>
      </w:pPr>
      <w:r>
        <w:rPr>
          <w:rFonts w:ascii="Times New Roman" w:hAnsi="Times New Roman" w:eastAsia="Times New Roman" w:cs="Times New Roman"/>
          <w:b/>
          <w:sz w:val="40"/>
          <w:szCs w:val="40"/>
        </w:rPr>
        <w:t xml:space="preserve">“AI-Based Prediction of Water Demand and Electricity Consumption”</w:t>
      </w:r>
    </w:p>
    <w:p>
      <w:pPr>
        <w:pStyle w:val="Normal"/>
        <w:spacing w:before="100" w:after="1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100" w:after="1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100" w:after="10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Submitted By</w:t>
      </w:r>
    </w:p>
    <w:p>
      <w:pPr>
        <w:pStyle w:val="Normal"/>
        <w:spacing w:before="100" w:after="1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Mr. Manthan Sankpal</w:t>
      </w:r>
    </w:p>
    <w:p>
      <w:pPr>
        <w:pStyle w:val="Normal"/>
        <w:spacing w:before="100" w:after="1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Post Graduate Student with PRN No. 125M1H064</w:t>
      </w:r>
    </w:p>
    <w:p>
      <w:pPr>
        <w:pStyle w:val="Normal"/>
        <w:spacing w:before="100" w:after="1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MCA, Semester III  |  Course: Seminar  |  Course Code: MCA33AE01</w:t>
      </w:r>
    </w:p>
    <w:p>
      <w:pPr>
        <w:pStyle w:val="Normal"/>
        <w:spacing w:before="100" w:after="10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Under the Guidance of</w:t>
      </w:r>
    </w:p>
    <w:p>
      <w:pPr>
        <w:pStyle w:val="Normal"/>
        <w:spacing w:before="100" w:after="1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Prof. Dr. Anjana Arakerimath</w:t>
      </w:r>
    </w:p>
    <w:p>
      <w:pPr>
        <w:pStyle w:val="Normal"/>
        <w:spacing w:before="100" w:after="1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Head of Department, MCA</w:t>
      </w:r>
    </w:p>
    <w:p>
      <w:pPr>
        <w:pStyle w:val="Normal"/>
        <w:spacing w:before="100" w:after="1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100" w:after="100"/>
        <w:jc w:val="center"/>
        <w:rPr>
          <w:rFonts w:ascii="Times New Roman" w:hAnsi="Times New Roman" w:eastAsia="Times New Roman" w:cs="Times New Roman"/>
          <w:sz w:val="24"/>
          <w:szCs w:val="24"/>
        </w:rPr>
      </w:pPr>
      <w:r>
        <w:rPr/>
        <w:drawing>
          <wp:inline distT="0" distB="0" distL="0" distR="0">
            <wp:extent cx="2357120" cy="1767840"/>
            <wp:effectExtent l="0" t="0" r="0" b="0"/>
            <wp:docPr id="1"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
                    <pic:cNvPicPr>
                      <a:picLocks noChangeAspect="1" noChangeArrowheads="1"/>
                    </pic:cNvPicPr>
                  </pic:nvPicPr>
                  <pic:blipFill>
                    <a:blip r:embed="rId2"/>
                    <a:stretch>
                      <a:fillRect/>
                    </a:stretch>
                  </pic:blipFill>
                  <pic:spPr bwMode="auto">
                    <a:xfrm>
                      <a:off x="0" y="0"/>
                      <a:ext cx="2357120" cy="1767840"/>
                    </a:xfrm>
                    <a:prstGeom prst="rect">
                      <a:avLst/>
                    </a:prstGeom>
                    <a:noFill/>
                  </pic:spPr>
                </pic:pic>
              </a:graphicData>
            </a:graphic>
          </wp:inline>
        </w:drawing>
      </w:r>
    </w:p>
    <w:p>
      <w:pPr>
        <w:pStyle w:val="Normal"/>
        <w:spacing w:before="100" w:after="1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100" w:after="1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100" w:after="1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640"/>
        <w:jc w:val="center"/>
        <w:rPr>
          <w:rFonts w:ascii="Times New Roman" w:hAnsi="Times New Roman" w:eastAsia="Times New Roman" w:cs="Times New Roman"/>
          <w:b/>
          <w:color w:val="000000"/>
          <w:sz w:val="36"/>
          <w:szCs w:val="36"/>
        </w:rPr>
      </w:pPr>
      <w:r>
        <w:rPr>
          <w:rFonts w:eastAsia="Times New Roman" w:cs="Times New Roman" w:ascii="Times New Roman" w:hAnsi="Times New Roman"/>
          <w:b/>
          <w:color w:val="000000"/>
          <w:sz w:val="36"/>
          <w:szCs w:val="36"/>
        </w:rPr>
        <w:t xml:space="preserve">Department of Master of Computer Application </w:t>
      </w:r>
    </w:p>
    <w:p>
      <w:pPr>
        <w:pStyle w:val="Normal"/>
        <w:spacing w:lineRule="auto" w:line="360" w:before="0" w:after="0"/>
        <w:ind w:left="640"/>
        <w:jc w:val="center"/>
        <w:rPr>
          <w:rFonts w:ascii="Times New Roman" w:hAnsi="Times New Roman" w:eastAsia="Times New Roman" w:cs="Times New Roman"/>
          <w:b/>
          <w:color w:val="000000"/>
          <w:sz w:val="24"/>
          <w:szCs w:val="24"/>
        </w:rPr>
      </w:pPr>
      <w:r>
        <w:rPr>
          <w:rFonts w:eastAsia="Times New Roman" w:cs="Times New Roman" w:ascii="Times New Roman" w:hAnsi="Times New Roman"/>
          <w:b/>
          <w:color w:val="000000"/>
          <w:sz w:val="24"/>
          <w:szCs w:val="24"/>
          <w:highlight w:val="white"/>
        </w:rPr>
        <w:t>Pimpri Chinchwad Education Trust's</w:t>
      </w:r>
    </w:p>
    <w:p>
      <w:pPr>
        <w:pStyle w:val="Normal"/>
        <w:spacing w:lineRule="auto" w:line="360" w:before="0" w:after="0"/>
        <w:jc w:val="center"/>
        <w:rPr>
          <w:rFonts w:ascii="Times New Roman" w:hAnsi="Times New Roman" w:eastAsia="Times New Roman" w:cs="Times New Roman"/>
          <w:b/>
          <w:color w:val="000000"/>
          <w:sz w:val="42"/>
          <w:szCs w:val="42"/>
        </w:rPr>
      </w:pPr>
      <w:r>
        <w:rPr>
          <w:rFonts w:eastAsia="Times New Roman" w:cs="Times New Roman" w:ascii="Times New Roman" w:hAnsi="Times New Roman"/>
          <w:b/>
          <w:color w:val="000000"/>
          <w:sz w:val="42"/>
          <w:szCs w:val="42"/>
          <w:highlight w:val="white"/>
        </w:rPr>
        <w:t>Pimpri Chinchwad College of Engineering</w:t>
      </w:r>
    </w:p>
    <w:p>
      <w:pPr>
        <w:pStyle w:val="Normal"/>
        <w:rPr>
          <w:rFonts w:ascii="Times New Roman" w:hAnsi="Times New Roman" w:eastAsia="Times New Roman" w:cs="Times New Roman"/>
        </w:rPr>
      </w:pPr>
      <w:r>
        <w:rPr>
          <w:rFonts w:ascii="Times New Roman" w:hAnsi="Times New Roman" w:eastAsia="Times New Roman" w:cs="Times New Roman"/>
        </w:rPr>
        <w:br w:type="page"/>
      </w:r>
    </w:p>
    <w:p>
      <w:pPr>
        <w:pStyle w:val="Normal"/>
        <w:spacing w:before="100" w:after="100"/>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Seminar Synopsis Content</w:t>
      </w:r>
    </w:p>
    <w:p>
      <w:pPr>
        <w:pStyle w:val="Heading3"/>
        <w:spacing w:before="240" w:after="12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1. Abstract</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Water and electricity are the two most heavily consumed civic utilities, yet most municipal bodies and distribution companies still plan supply using historical averages and manual judgement. This seminar studies how Artificial Intelligence, applied to smart meter data, can replace that reactive practice with accurate short-term forecasting. The objective is to review, implement and compare statistical, machine learning and deep learning models for predicting next-day and next-week water demand and electricity consumption. The methodology follows a six-stage pipeline: acquisition of interval meter data together with weather and calendar variables; preprocessing and feature engineering; development of ARIMA, XGBoost and LSTM or GRU models; evaluation using MAE, RMSE, MAPE and R²; detection of anomalies from forecast residuals; and delivery of results through Power BI dashboards and a Streamlit prototype served by a Flask API. Expected outcomes include reliable demand forecasts, early identification of abnormal spikes, leakage and wastage, and quantified evidence of where deep learning improves upon classical methods. The study concludes that predictive analytics enables optimised resource allocation, reduced operational cost and measurable progress toward urban sustainability.</w:t>
      </w:r>
    </w:p>
    <w:p>
      <w:pPr>
        <w:pStyle w:val="Heading3"/>
        <w:spacing w:before="240" w:after="12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2. Introduction</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Urban India is under simultaneous pressure from rising water demand and growing electrical load. Non-revenue water in many Indian cities is reported in the range of thirty to forty percent, while distribution companies incur avoidable cost whenever load is under-estimated and power must be purchased at short notice. Both problems share a common cause: supply decisions are taken after consumption has occurred rather than before it. The nationwide deployment of smart meters has changed the data situation, as utilities now record consumption at fifteen-minute or hourly intervals. This data, however, is largely confined to billing and is rarely used for prediction. Time-series forecasting using machine learning and deep learning offers a direct way to extract operational value from it, since such models learn seasonality, weather sensitivity and behavioural patterns that linear methods cannot capture. The topic was selected because the two resources are functionally coupled, pumping and treatment of water being themselves major electrical loads, and because the required tools are openly available, making the study practically reproducible.</w:t>
      </w:r>
    </w:p>
    <w:p>
      <w:pPr>
        <w:pStyle w:val="Heading3"/>
        <w:spacing w:before="240" w:after="12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3. Objectives</w:t>
      </w:r>
    </w:p>
    <w:p>
      <w:pPr>
        <w:pStyle w:val="BodyText"/>
        <w:spacing w:before="0" w:after="120" w:line="276" w:lineRule="auto"/>
        <w:ind w:left="360" w:hanging="3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  </w:t>
      </w:r>
      <w:r>
        <w:rPr>
          <w:rFonts w:ascii="Times New Roman" w:hAnsi="Times New Roman" w:eastAsia="Times New Roman" w:cs="Times New Roman"/>
          <w:sz w:val="24"/>
          <w:szCs w:val="24"/>
        </w:rPr>
        <w:t xml:space="preserve">To study the characteristics of smart meter data and establish a reliable preprocessing pipeline.</w:t>
      </w:r>
    </w:p>
    <w:p>
      <w:pPr>
        <w:pStyle w:val="BodyText"/>
        <w:spacing w:before="0" w:after="120" w:line="276" w:lineRule="auto"/>
        <w:ind w:left="360" w:hanging="3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  </w:t>
      </w:r>
      <w:r>
        <w:rPr>
          <w:rFonts w:ascii="Times New Roman" w:hAnsi="Times New Roman" w:eastAsia="Times New Roman" w:cs="Times New Roman"/>
          <w:sz w:val="24"/>
          <w:szCs w:val="24"/>
        </w:rPr>
        <w:t xml:space="preserve">To compare statistical, machine learning and deep learning forecasting models on identical datasets.</w:t>
      </w:r>
    </w:p>
    <w:p>
      <w:pPr>
        <w:pStyle w:val="BodyText"/>
        <w:spacing w:before="0" w:after="120" w:line="276" w:lineRule="auto"/>
        <w:ind w:left="360" w:hanging="3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3.  </w:t>
      </w:r>
      <w:r>
        <w:rPr>
          <w:rFonts w:ascii="Times New Roman" w:hAnsi="Times New Roman" w:eastAsia="Times New Roman" w:cs="Times New Roman"/>
          <w:sz w:val="24"/>
          <w:szCs w:val="24"/>
        </w:rPr>
        <w:t xml:space="preserve">To forecast next-day and next-week water demand and electricity consumption.</w:t>
      </w:r>
    </w:p>
    <w:p>
      <w:pPr>
        <w:pStyle w:val="BodyText"/>
        <w:spacing w:before="0" w:after="120" w:line="276" w:lineRule="auto"/>
        <w:ind w:left="360" w:hanging="3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4.  </w:t>
      </w:r>
      <w:r>
        <w:rPr>
          <w:rFonts w:ascii="Times New Roman" w:hAnsi="Times New Roman" w:eastAsia="Times New Roman" w:cs="Times New Roman"/>
          <w:sz w:val="24"/>
          <w:szCs w:val="24"/>
        </w:rPr>
        <w:t xml:space="preserve">To incorporate weather, day-of-week and holiday variables as predictors of demand.</w:t>
      </w:r>
    </w:p>
    <w:p>
      <w:pPr>
        <w:pStyle w:val="BodyText"/>
        <w:spacing w:before="0" w:after="120" w:line="276" w:lineRule="auto"/>
        <w:ind w:left="360" w:hanging="3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5.  </w:t>
      </w:r>
      <w:r>
        <w:rPr>
          <w:rFonts w:ascii="Times New Roman" w:hAnsi="Times New Roman" w:eastAsia="Times New Roman" w:cs="Times New Roman"/>
          <w:sz w:val="24"/>
          <w:szCs w:val="24"/>
        </w:rPr>
        <w:t xml:space="preserve">To detect abnormal spikes, leakage and wastage from forecast residuals.</w:t>
      </w:r>
    </w:p>
    <w:p>
      <w:pPr>
        <w:pStyle w:val="BodyText"/>
        <w:spacing w:before="0" w:after="120" w:line="276" w:lineRule="auto"/>
        <w:ind w:left="360" w:hanging="3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6.  </w:t>
      </w:r>
      <w:r>
        <w:rPr>
          <w:rFonts w:ascii="Times New Roman" w:hAnsi="Times New Roman" w:eastAsia="Times New Roman" w:cs="Times New Roman"/>
          <w:sz w:val="24"/>
          <w:szCs w:val="24"/>
        </w:rPr>
        <w:t xml:space="preserve">To visualise forecasts through dashboards that support resource allocation and cost reduction.</w:t>
      </w:r>
    </w:p>
    <w:p>
      <w:pPr>
        <w:pStyle w:val="Heading3"/>
        <w:spacing w:before="240" w:after="12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4. Literature Survey</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literature reviewed spans peer-reviewed journal articles, IEEE and Elsevier conference papers and industry documentation published mainly between 2016 and 2025. Four research streams are evident.</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Classical statistical forecasting.  </w:t>
      </w:r>
      <w:r>
        <w:rPr>
          <w:rFonts w:ascii="Times New Roman" w:hAnsi="Times New Roman" w:eastAsia="Times New Roman" w:cs="Times New Roman"/>
          <w:sz w:val="24"/>
          <w:szCs w:val="24"/>
        </w:rPr>
        <w:t xml:space="preserve">Box–Jenkins ARIMA and SARIMA models and Holt-Winters exponential smoothing remain widely deployed for utility demand. Hyndman and Athanasopoulos show that these methods are interpretable, inexpensive to compute and adequate where demand is stable and strongly seasonal. Their limitation is the assumption of linearity and the difficulty of admitting several exogenous variables, so accuracy falls during irregular events such as heatwaves or festival periods.</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Machine learning approaches.  </w:t>
      </w:r>
      <w:r>
        <w:rPr>
          <w:rFonts w:ascii="Times New Roman" w:hAnsi="Times New Roman" w:eastAsia="Times New Roman" w:cs="Times New Roman"/>
          <w:sz w:val="24"/>
          <w:szCs w:val="24"/>
        </w:rPr>
        <w:t xml:space="preserve">Tree-based ensembles consistently outperform statistical baselines when supplied with engineered features. XGBoost, introduced by Chen and Guestrin, is the most frequently cited method in this group, and studies on short-term water demand report that Random Forest and Support Vector Regression reduce error relative to ARIMA. The recurring limitation is dependence on manual feature engineering, since model quality is bounded by the lag and calendar features the analyst chooses to supply.</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Deep learning for time series.  </w:t>
      </w:r>
      <w:r>
        <w:rPr>
          <w:rFonts w:ascii="Times New Roman" w:hAnsi="Times New Roman" w:eastAsia="Times New Roman" w:cs="Times New Roman"/>
          <w:sz w:val="24"/>
          <w:szCs w:val="24"/>
        </w:rPr>
        <w:t xml:space="preserve">The LSTM architecture of Hochreiter and Schmidhuber, and the later GRU variant, learn temporal dependencies directly from raw sequences. Kong et al. demonstrated that LSTM networks outperform conventional methods for short-term residential load forecasting, particularly at the individual household level where consumption is volatile. Hybrid CNN-LSTM and attention-based models are reported to improve multi-step-ahead accuracy further. The trade-offs identified are large data requirements, longer training time and reduced interpretability, which matters where utilities must justify operational decisions.</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Smart metering and anomaly detection.  </w:t>
      </w:r>
      <w:r>
        <w:rPr>
          <w:rFonts w:ascii="Times New Roman" w:hAnsi="Times New Roman" w:eastAsia="Times New Roman" w:cs="Times New Roman"/>
          <w:sz w:val="24"/>
          <w:szCs w:val="24"/>
        </w:rPr>
        <w:t xml:space="preserve">Studies on Advanced Metering Infrastructure highlight practical data problems including missing intervals, communication gaps, clock drift and privacy restrictions on household-level readings. Because labelled leakage and theft records are rarely available, anomaly detection generally relies on unsupervised methods such as the Isolation Forest of Liu et al., clustering of consumption profiles, or thresholding of forecast residuals.</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Research gap.  </w:t>
      </w:r>
      <w:r>
        <w:rPr>
          <w:rFonts w:ascii="Times New Roman" w:hAnsi="Times New Roman" w:eastAsia="Times New Roman" w:cs="Times New Roman"/>
          <w:sz w:val="24"/>
          <w:szCs w:val="24"/>
        </w:rPr>
        <w:t xml:space="preserve">Existing studies address either water demand or electrical load, seldom both within a single comparative framework, and most stop at reported accuracy without extending to a deployable pipeline with dashboards and alerting. This seminar addresses that gap by treating forecasting, anomaly detection and operational visualisation as one integrated study.</w:t>
      </w:r>
    </w:p>
    <w:p>
      <w:pPr>
        <w:pStyle w:val="Heading3"/>
        <w:spacing w:before="240" w:after="12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5. Problem Statement</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Utility demand is non-linear, seasonal at daily, weekly and annual scales, and sensitive to temperature, humidity and occupancy, so conventional averaging and linear statistical models produce unreliable short-term estimates. As a result water is over-pumped, electrical reserves are misjudged, and leakage remains undetected until it becomes visible. The problem addressed is the absence of a unified, data-driven framework that can forecast both water demand and electricity consumption from smart meter data while simultaneously flagging abnormal usage. It matters because forecast error translates directly into wasted resources, higher operational cost and avoidable carbon emissions.</w:t>
      </w:r>
    </w:p>
    <w:p>
      <w:pPr>
        <w:pStyle w:val="Heading3"/>
        <w:spacing w:before="240" w:after="12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6. Plan of Study</w:t>
      </w:r>
    </w:p>
    <w:p>
      <w:pPr>
        <w:pStyle w:val="BodyText"/>
        <w:spacing w:before="0" w:after="12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seminar will be completed in six sequential phases. Phase I finalises the topic in consultation with the guide and completes a survey of fifteen to twenty papers drawn from IEEE, Elsevier and reputed white papers. Phase II collects public smart meter and weather datasets and builds the preprocessing pipeline covering missing intervals, outliers and resampling. Phase III engineers lag, rolling-window and calendar features and establishes ARIMA and XGBoost baselines. Phase IV develops and tunes LSTM, GRU and CNN-LSTM models in TensorFlow, evaluated using walk-forward validation. Phase V adds residual-based anomaly detection and builds the Power BI dashboard with a Streamlit and Flask prototype. Phase VI consolidates the findings into the seminar report, verifies it using a plagiarism checker and Grammarly, and prepares the final presentation.</w:t>
      </w:r>
    </w:p>
    <w:p>
      <w:pPr>
        <w:pStyle w:val="Heading3"/>
        <w:spacing w:before="240" w:after="12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7. References</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  </w:t>
      </w:r>
      <w:r>
        <w:rPr>
          <w:rFonts w:ascii="Times New Roman" w:hAnsi="Times New Roman" w:eastAsia="Times New Roman" w:cs="Times New Roman"/>
          <w:sz w:val="24"/>
          <w:szCs w:val="24"/>
        </w:rPr>
        <w:t xml:space="preserve">S. Hochreiter and J. Schmidhuber, “Long short-term memory,” Neural Computation, vol. 9, no. 8, pp. 1735–1780, 1997.</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  </w:t>
      </w:r>
      <w:r>
        <w:rPr>
          <w:rFonts w:ascii="Times New Roman" w:hAnsi="Times New Roman" w:eastAsia="Times New Roman" w:cs="Times New Roman"/>
          <w:sz w:val="24"/>
          <w:szCs w:val="24"/>
        </w:rPr>
        <w:t xml:space="preserve">W. Kong, Z. Y. Dong, Y. Jia, D. J. Hill, Y. Xu and Y. Zhang, “Short-term residential load forecasting based on LSTM recurrent neural network,” IEEE Transactions on Smart Grid, vol. 10, no. 1, pp. 841–851, 2019.</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[3]  </w:t>
      </w:r>
      <w:r>
        <w:rPr>
          <w:rFonts w:ascii="Times New Roman" w:hAnsi="Times New Roman" w:eastAsia="Times New Roman" w:cs="Times New Roman"/>
          <w:sz w:val="24"/>
          <w:szCs w:val="24"/>
        </w:rPr>
        <w:t xml:space="preserve">T. Chen and C. Guestrin, “XGBoost: A scalable tree boosting system,” in Proc. 22nd ACM SIGKDD Int. Conf. Knowledge Discovery and Data Mining, San Francisco, CA, USA, 2016, pp. 785–794.</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[4]  </w:t>
      </w:r>
      <w:r>
        <w:rPr>
          <w:rFonts w:ascii="Times New Roman" w:hAnsi="Times New Roman" w:eastAsia="Times New Roman" w:cs="Times New Roman"/>
          <w:sz w:val="24"/>
          <w:szCs w:val="24"/>
        </w:rPr>
        <w:t xml:space="preserve">F. T. Liu, K. M. Ting and Z.-H. Zhou, “Isolation forest,” in Proc. 8th IEEE Int. Conf. Data Mining (ICDM), Pisa, Italy, 2008, pp. 413–422.</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[5]  </w:t>
      </w:r>
      <w:r>
        <w:rPr>
          <w:rFonts w:ascii="Times New Roman" w:hAnsi="Times New Roman" w:eastAsia="Times New Roman" w:cs="Times New Roman"/>
          <w:sz w:val="24"/>
          <w:szCs w:val="24"/>
        </w:rPr>
        <w:t xml:space="preserve">G. E. P. Box, G. M. Jenkins, G. C. Reinsel and G. M. Ljung, Time Series Analysis: Forecasting and Control, 5th ed. Hoboken, NJ, USA: Wiley, 2015.</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[6]  </w:t>
      </w:r>
      <w:r>
        <w:rPr>
          <w:rFonts w:ascii="Times New Roman" w:hAnsi="Times New Roman" w:eastAsia="Times New Roman" w:cs="Times New Roman"/>
          <w:sz w:val="24"/>
          <w:szCs w:val="24"/>
        </w:rPr>
        <w:t xml:space="preserve">R. J. Hyndman and G. Athanasopoulos, Forecasting: Principles and Practice, 3rd ed. Melbourne, Australia: OTexts, 2021.</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[7]  </w:t>
      </w:r>
      <w:r>
        <w:rPr>
          <w:rFonts w:ascii="Times New Roman" w:hAnsi="Times New Roman" w:eastAsia="Times New Roman" w:cs="Times New Roman"/>
          <w:sz w:val="24"/>
          <w:szCs w:val="24"/>
        </w:rPr>
        <w:t xml:space="preserve">A. Antunes, A. Andrade-Campos, A. Sardinha-Lourenço and M. S. Oliveira, “Short-term water demand forecasting using machine learning techniques,” Journal of Hydroinformatics, vol. 20, no. 6, pp. 1343–1366, 2018.</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[8]  </w:t>
      </w:r>
      <w:r>
        <w:rPr>
          <w:rFonts w:ascii="Times New Roman" w:hAnsi="Times New Roman" w:eastAsia="Times New Roman" w:cs="Times New Roman"/>
          <w:sz w:val="24"/>
          <w:szCs w:val="24"/>
        </w:rPr>
        <w:t xml:space="preserve">Ministry of Power, Government of India, “Smart Meter National Programme,” Energy Efficiency Services Limited. [Online]. Available: https://eeslindia.org</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[9]  </w:t>
      </w:r>
      <w:r>
        <w:rPr>
          <w:rFonts w:ascii="Times New Roman" w:hAnsi="Times New Roman" w:eastAsia="Times New Roman" w:cs="Times New Roman"/>
          <w:sz w:val="24"/>
          <w:szCs w:val="24"/>
        </w:rPr>
        <w:t xml:space="preserve">TensorFlow, “Time series forecasting,” TensorFlow Core Tutorials. [Online]. Available: https://www.tensorflow.org/tutorials/structured_data/time_series</w:t>
      </w:r>
    </w:p>
    <w:p>
      <w:pPr>
        <w:pStyle w:val="BodyText"/>
        <w:spacing w:before="0" w:after="120" w:line="276" w:lineRule="auto"/>
        <w:ind w:left="460" w:hanging="460"/>
        <w:jc w:val="left"/>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[10]  </w:t>
      </w:r>
      <w:r>
        <w:rPr>
          <w:rFonts w:ascii="Times New Roman" w:hAnsi="Times New Roman" w:eastAsia="Times New Roman" w:cs="Times New Roman"/>
          <w:sz w:val="24"/>
          <w:szCs w:val="24"/>
        </w:rPr>
        <w:t xml:space="preserve">Microsoft, “Power BI documentation,” Microsoft Learn. [Online]. Available: https://learn.microsoft.com/power-bi/</w:t>
      </w:r>
    </w:p>
    <w:sectPr>
      <w:type w:val="nextPage"/>
      <w:pgSz w:w="11906" w:h="16838"/>
      <w:pgMar w:left="1440" w:right="1099"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swiss"/>
    <w:pitch w:val="variable"/>
  </w:font>
  <w:font w:name="OpenSymbol">
    <w:altName w:val="Arial Unicode MS"/>
    <w:charset w:val="00"/>
    <w:family w:val="roman"/>
    <w:pitch w:val="variable"/>
  </w:font>
  <w:font w:name="Liberation Sans">
    <w:altName w:val="Arial"/>
    <w:charset w:val="00"/>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60d5d"/>
    <w:pPr>
      <w:widowControl/>
      <w:suppressAutoHyphens w:val="true"/>
      <w:bidi w:val="0"/>
      <w:spacing w:lineRule="auto" w:line="276" w:before="0" w:after="200"/>
      <w:jc w:val="left"/>
    </w:pPr>
    <w:rPr>
      <w:rFonts w:ascii="Calibri" w:hAnsi="Calibri" w:eastAsia="DejaVu Sans" w:cs="Calibri"/>
      <w:color w:val="00000A"/>
      <w:kern w:val="0"/>
      <w:sz w:val="22"/>
      <w:szCs w:val="22"/>
      <w:lang w:val="en-US" w:eastAsia="en-IN" w:bidi="ar-SA"/>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SimSun" w:cs="Arial"/>
      <w:b/>
      <w:bCs/>
      <w:sz w:val="28"/>
      <w:szCs w:val="2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060d5d"/>
    <w:rPr>
      <w:rFonts w:ascii="Tahoma" w:hAnsi="Tahoma" w:eastAsia="DejaVu Sans" w:cs="Tahoma"/>
      <w:color w:val="00000A"/>
      <w:sz w:val="16"/>
      <w:szCs w:val="16"/>
      <w:lang w:val="en-US" w:eastAsia="en-IN"/>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060d5d"/>
    <w:pPr>
      <w:spacing w:lineRule="auto" w:line="240" w:before="0" w:after="0"/>
    </w:pPr>
    <w:rPr>
      <w:rFonts w:ascii="Tahoma" w:hAnsi="Tahoma" w:cs="Tahoma"/>
      <w:sz w:val="16"/>
      <w:szCs w:val="16"/>
    </w:rPr>
  </w:style>
  <w:style w:type="paragraph" w:styleId="ListParagraph">
    <w:name w:val="List Paragraph"/>
    <w:basedOn w:val="Normal"/>
    <w:uiPriority w:val="34"/>
    <w:qFormat/>
    <w:rsid w:val="007800e7"/>
    <w:pPr>
      <w:spacing w:before="0" w:after="20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LibreOffice/25.2.4.3$Windows_X86_64 LibreOffice_project/33e196637044ead23f5c3226cde09b47731f7e27</Application>
  <AppVersion>15.0000</AppVersion>
  <Pages>2</Pages>
  <Words>196</Words>
  <Characters>1121</Characters>
  <CharactersWithSpaces>1294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2025-01-17T06:40:00Z</dcterms:created>
  <dc:creator>Admin</dc:creator>
  <dc:description/>
  <dc:language>en-US</dc:language>
  <cp:lastModifiedBy/>
  <dcterms:modified xsi:type="dcterms:W3CDTF">2025-07-03T10:14:34Z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