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3064"/>
          <w:sz w:val="44"/>
        </w:rPr>
        <w:t>RubriQ — Rubric-Driven, AI-Assisted Project Review</w:t>
      </w:r>
    </w:p>
    <w:p>
      <w:pPr>
        <w:jc w:val="center"/>
      </w:pPr>
      <w:r>
        <w:rPr>
          <w:i/>
          <w:sz w:val="26"/>
        </w:rPr>
        <w:t>A Mini Project Synopsis</w:t>
      </w:r>
    </w:p>
    <w:p/>
    <w:tbl>
      <w:tblPr>
        <w:tblStyle w:val="TableGrid"/>
        <w:tblW w:type="auto" w:w="0"/>
        <w:jc w:val="center"/>
        <w:tblLook w:firstColumn="1" w:firstRow="1" w:lastColumn="0" w:lastRow="0" w:noHBand="0" w:noVBand="1" w:val="04A0"/>
      </w:tblPr>
      <w:tblGrid>
        <w:gridCol w:w="4608"/>
        <w:gridCol w:w="4608"/>
      </w:tblGrid>
      <w:tr>
        <w:tc>
          <w:tcPr>
            <w:tcW w:type="dxa" w:w="2880"/>
          </w:tcPr>
          <w:p>
            <w:r>
              <w:t>Project title</w:t>
            </w:r>
          </w:p>
        </w:tc>
        <w:tc>
          <w:tcPr>
            <w:tcW w:type="dxa" w:w="5760"/>
          </w:tcPr>
          <w:p>
            <w:r>
              <w:t>RubriQ — Rubric-Driven, AI-Assisted Project Review</w:t>
            </w:r>
          </w:p>
        </w:tc>
      </w:tr>
      <w:tr>
        <w:tc>
          <w:tcPr>
            <w:tcW w:type="dxa" w:w="2880"/>
          </w:tcPr>
          <w:p>
            <w:r>
              <w:t>Student</w:t>
            </w:r>
          </w:p>
        </w:tc>
        <w:tc>
          <w:tcPr>
            <w:tcW w:type="dxa" w:w="5760"/>
          </w:tcPr>
          <w:p>
            <w:r>
              <w:t>Manthan Sankpal</w:t>
            </w:r>
          </w:p>
        </w:tc>
      </w:tr>
      <w:tr>
        <w:tc>
          <w:tcPr>
            <w:tcW w:type="dxa" w:w="2880"/>
          </w:tcPr>
          <w:p>
            <w:r>
              <w:t>PRN</w:t>
            </w:r>
          </w:p>
        </w:tc>
        <w:tc>
          <w:tcPr>
            <w:tcW w:type="dxa" w:w="5760"/>
          </w:tcPr>
          <w:p>
            <w:r>
              <w:t>125M1H064</w:t>
            </w:r>
          </w:p>
        </w:tc>
      </w:tr>
      <w:tr>
        <w:tc>
          <w:tcPr>
            <w:tcW w:type="dxa" w:w="2880"/>
          </w:tcPr>
          <w:p>
            <w:r>
              <w:t>Programme</w:t>
            </w:r>
          </w:p>
        </w:tc>
        <w:tc>
          <w:tcPr>
            <w:tcW w:type="dxa" w:w="5760"/>
          </w:tcPr>
          <w:p>
            <w:r>
              <w:t>Master of Computer Applications (MCA)</w:t>
            </w:r>
          </w:p>
        </w:tc>
      </w:tr>
      <w:tr>
        <w:tc>
          <w:tcPr>
            <w:tcW w:type="dxa" w:w="2880"/>
          </w:tcPr>
          <w:p>
            <w:r>
              <w:t>Semester</w:t>
            </w:r>
          </w:p>
        </w:tc>
        <w:tc>
          <w:tcPr>
            <w:tcW w:type="dxa" w:w="5760"/>
          </w:tcPr>
          <w:p>
            <w:r>
              <w:t>III</w:t>
            </w:r>
          </w:p>
        </w:tc>
      </w:tr>
      <w:tr>
        <w:tc>
          <w:tcPr>
            <w:tcW w:type="dxa" w:w="2880"/>
          </w:tcPr>
          <w:p>
            <w:r>
              <w:t>Course</w:t>
            </w:r>
          </w:p>
        </w:tc>
        <w:tc>
          <w:tcPr>
            <w:tcW w:type="dxa" w:w="5760"/>
          </w:tcPr>
          <w:p>
            <w:r>
              <w:t>Mini Project — MCA33EL03</w:t>
            </w:r>
          </w:p>
        </w:tc>
      </w:tr>
      <w:tr>
        <w:tc>
          <w:tcPr>
            <w:tcW w:type="dxa" w:w="2880"/>
          </w:tcPr>
          <w:p>
            <w:r>
              <w:t>Guide</w:t>
            </w:r>
          </w:p>
        </w:tc>
        <w:tc>
          <w:tcPr>
            <w:tcW w:type="dxa" w:w="5760"/>
          </w:tcPr>
          <w:p>
            <w:r>
              <w:t>Prof. Dr. Anjana Arakerimath (HOD)</w:t>
            </w:r>
          </w:p>
        </w:tc>
      </w:tr>
      <w:tr>
        <w:tc>
          <w:tcPr>
            <w:tcW w:type="dxa" w:w="2880"/>
          </w:tcPr>
          <w:p>
            <w:r>
              <w:t>Institute</w:t>
            </w:r>
          </w:p>
        </w:tc>
        <w:tc>
          <w:tcPr>
            <w:tcW w:type="dxa" w:w="5760"/>
          </w:tcPr>
          <w:p>
            <w:r>
              <w:t>Pimpri Chinchwad College of Engineering, Pune</w:t>
            </w:r>
          </w:p>
        </w:tc>
      </w:tr>
      <w:tr>
        <w:tc>
          <w:tcPr>
            <w:tcW w:type="dxa" w:w="2880"/>
          </w:tcPr>
          <w:p>
            <w:r>
              <w:t>Evaluation</w:t>
            </w:r>
          </w:p>
        </w:tc>
        <w:tc>
          <w:tcPr>
            <w:tcW w:type="dxa" w:w="5760"/>
          </w:tcPr>
          <w:p>
            <w:r>
              <w:t>Minimum two reviews, 50 marks total</w:t>
            </w:r>
          </w:p>
        </w:tc>
      </w:tr>
      <w:tr>
        <w:tc>
          <w:tcPr>
            <w:tcW w:type="dxa" w:w="2880"/>
          </w:tcPr>
          <w:p>
            <w:r>
              <w:t>Academic year</w:t>
            </w:r>
          </w:p>
        </w:tc>
        <w:tc>
          <w:tcPr>
            <w:tcW w:type="dxa" w:w="5760"/>
          </w:tcPr>
          <w:p>
            <w:r>
              <w:t>2026–27</w:t>
            </w:r>
          </w:p>
        </w:tc>
      </w:tr>
    </w:tbl>
    <w:p/>
    <w:p>
      <w:r>
        <w:br w:type="page"/>
      </w:r>
    </w:p>
    <w:p>
      <w:pPr>
        <w:sectPr>
          <w:footerReference w:type="default" r:id="rId9"/>
          <w:pgSz w:w="12240" w:h="15840"/>
          <w:pgMar w:top="1440" w:right="1440" w:bottom="1440" w:left="1584" w:header="720" w:footer="720" w:gutter="0"/>
          <w:cols w:space="720"/>
          <w:docGrid w:linePitch="360"/>
        </w:sectPr>
      </w:pPr>
    </w:p>
    <w:p>
      <w:pPr>
        <w:pStyle w:val="Heading1"/>
      </w:pPr>
      <w:r>
        <w:t>1. Introduction</w:t>
      </w:r>
    </w:p>
    <w:p>
      <w:pPr>
        <w:jc w:val="both"/>
      </w:pPr>
      <w:r>
        <w:rPr>
          <w:i w:val="0"/>
        </w:rPr>
        <w:t>Every project-based course at PCCOE is assessed through a small number of review milestones. A rubric exists for each of them, but it exists mostly on the reviewer's side of the table: the student finds out what was expected of them at the moment they are told their mark.</w:t>
      </w:r>
    </w:p>
    <w:p>
      <w:pPr>
        <w:jc w:val="both"/>
      </w:pPr>
      <w:r>
        <w:rPr>
          <w:i w:val="0"/>
        </w:rPr>
        <w:t>RubriQ moves the rubric to the front of that sequence. Faculty author it, publish it, and it becomes visible to the student before submission opens. When work comes in, the system produces an evidence-backed estimate of the mark against that same rubric — every criterion score citing a verbatim span from the student's own document — which a faculty member then verifies, adjusts where they disagree, and approves. Only after approval does anything become a mark, and only after approval does the student see feedback.</w:t>
      </w:r>
    </w:p>
    <w:p>
      <w:pPr>
        <w:jc w:val="both"/>
      </w:pPr>
      <w:r>
        <w:rPr>
          <w:i w:val="0"/>
        </w:rPr>
        <w:t>The name is rubric + IQ. The ordering is deliberate: the rubric is the authority, and the intelligence is assistive.</w:t>
      </w:r>
    </w:p>
    <w:p>
      <w:pPr>
        <w:pStyle w:val="Heading1"/>
      </w:pPr>
      <w:r>
        <w:t>2. Problem statement</w:t>
      </w:r>
    </w:p>
    <w:p>
      <w:pPr>
        <w:jc w:val="both"/>
      </w:pPr>
      <w:r>
        <w:rPr>
          <w:i w:val="0"/>
        </w:rPr>
        <w:t>Three problems, in the order they hurt:</w:t>
      </w:r>
    </w:p>
    <w:p>
      <w:pPr>
        <w:pStyle w:val="ListBullet"/>
        <w:jc w:val="both"/>
      </w:pPr>
      <w:r>
        <w:rPr>
          <w:b/>
        </w:rPr>
        <w:t xml:space="preserve">The rubric is invisible until it is too late to act on it. </w:t>
      </w:r>
      <w:r>
        <w:t>A student cannot aim at a target they have not been shown, so the rubric functions as a justification for a mark rather than a specification for the work.</w:t>
      </w:r>
    </w:p>
    <w:p>
      <w:pPr>
        <w:pStyle w:val="ListBullet"/>
        <w:jc w:val="both"/>
      </w:pPr>
      <w:r>
        <w:rPr>
          <w:b/>
        </w:rPr>
        <w:t xml:space="preserve">Review marking is unevenly evidenced. </w:t>
      </w:r>
      <w:r>
        <w:t>Two reviewers, or the same reviewer on a Friday afternoon, can score the same submission differently, and neither score carries a record of what in the document produced it.</w:t>
      </w:r>
    </w:p>
    <w:p>
      <w:pPr>
        <w:pStyle w:val="ListBullet"/>
        <w:jc w:val="both"/>
      </w:pPr>
      <w:r>
        <w:rPr>
          <w:b/>
        </w:rPr>
        <w:t xml:space="preserve">Late and absent are conflated. </w:t>
      </w:r>
      <w:r>
        <w:t>A submission four days past the deadline and a submission that never arrived are administratively different things, but both tend to be recorded as a zero, which destroys the distinction the department's own policy depends on.</w:t>
      </w:r>
    </w:p>
    <w:p>
      <w:pPr>
        <w:pStyle w:val="Heading1"/>
      </w:pPr>
      <w:r>
        <w:t>3. Objectives</w:t>
      </w:r>
    </w:p>
    <w:tbl>
      <w:tblPr>
        <w:tblStyle w:val="TableGrid"/>
        <w:tblW w:type="auto" w:w="0"/>
        <w:jc w:val="center"/>
        <w:tblLook w:firstColumn="1" w:firstRow="1" w:lastColumn="0" w:lastRow="0" w:noHBand="0" w:noVBand="1" w:val="04A0"/>
      </w:tblPr>
      <w:tblGrid>
        <w:gridCol w:w="4608"/>
        <w:gridCol w:w="4608"/>
      </w:tblGrid>
      <w:tr>
        <w:tc>
          <w:tcPr>
            <w:tcW w:type="dxa" w:w="864"/>
          </w:tcPr>
          <w:p>
            <w:r>
              <w:rPr>
                <w:b/>
              </w:rPr>
              <w:t>#</w:t>
            </w:r>
          </w:p>
        </w:tc>
        <w:tc>
          <w:tcPr>
            <w:tcW w:type="dxa" w:w="7776"/>
          </w:tcPr>
          <w:p>
            <w:r>
              <w:rPr>
                <w:b/>
              </w:rPr>
              <w:t>Objective</w:t>
            </w:r>
          </w:p>
        </w:tc>
      </w:tr>
      <w:tr>
        <w:tc>
          <w:tcPr>
            <w:tcW w:type="dxa" w:w="864"/>
          </w:tcPr>
          <w:p>
            <w:r>
              <w:t>O1</w:t>
            </w:r>
          </w:p>
        </w:tc>
        <w:tc>
          <w:tcPr>
            <w:tcW w:type="dxa" w:w="7776"/>
          </w:tcPr>
          <w:p>
            <w:r>
              <w:t>Let faculty author a rubric per review milestone, validate that its weights sum to 100, and publish it as an immutable version</w:t>
            </w:r>
          </w:p>
        </w:tc>
      </w:tr>
      <w:tr>
        <w:tc>
          <w:tcPr>
            <w:tcW w:type="dxa" w:w="864"/>
          </w:tcPr>
          <w:p>
            <w:r>
              <w:t>O2</w:t>
            </w:r>
          </w:p>
        </w:tc>
        <w:tc>
          <w:tcPr>
            <w:tcW w:type="dxa" w:w="7776"/>
          </w:tcPr>
          <w:p>
            <w:r>
              <w:t>Show the published rubric to the enrolled student before they upload anything</w:t>
            </w:r>
          </w:p>
        </w:tc>
      </w:tr>
      <w:tr>
        <w:tc>
          <w:tcPr>
            <w:tcW w:type="dxa" w:w="864"/>
          </w:tcPr>
          <w:p>
            <w:r>
              <w:t>O3</w:t>
            </w:r>
          </w:p>
        </w:tc>
        <w:tc>
          <w:tcPr>
            <w:tcW w:type="dxa" w:w="7776"/>
          </w:tcPr>
          <w:p>
            <w:r>
              <w:t>Accept versioned submissions (PDF / DOCX / TXT) and extract their text at upload time</w:t>
            </w:r>
          </w:p>
        </w:tc>
      </w:tr>
      <w:tr>
        <w:tc>
          <w:tcPr>
            <w:tcW w:type="dxa" w:w="864"/>
          </w:tcPr>
          <w:p>
            <w:r>
              <w:t>O4</w:t>
            </w:r>
          </w:p>
        </w:tc>
        <w:tc>
          <w:tcPr>
            <w:tcW w:type="dxa" w:w="7776"/>
          </w:tcPr>
          <w:p>
            <w:r>
              <w:t>Produce a per-criterion estimated score in which every score cites a verbatim span from the submission, or is marked NO_EVIDENCE</w:t>
            </w:r>
          </w:p>
        </w:tc>
      </w:tr>
      <w:tr>
        <w:tc>
          <w:tcPr>
            <w:tcW w:type="dxa" w:w="864"/>
          </w:tcPr>
          <w:p>
            <w:r>
              <w:t>O5</w:t>
            </w:r>
          </w:p>
        </w:tc>
        <w:tc>
          <w:tcPr>
            <w:tcW w:type="dxa" w:w="7776"/>
          </w:tcPr>
          <w:p>
            <w:r>
              <w:t>Apply late and absence policy as deterministic arithmetic, not as a judgement call</w:t>
            </w:r>
          </w:p>
        </w:tc>
      </w:tr>
      <w:tr>
        <w:tc>
          <w:tcPr>
            <w:tcW w:type="dxa" w:w="864"/>
          </w:tcPr>
          <w:p>
            <w:r>
              <w:t>O6</w:t>
            </w:r>
          </w:p>
        </w:tc>
        <w:tc>
          <w:tcPr>
            <w:tcW w:type="dxa" w:w="7776"/>
          </w:tcPr>
          <w:p>
            <w:r>
              <w:t>Require an explicit, named faculty approval before any mark is final, and record every override with a reason</w:t>
            </w:r>
          </w:p>
        </w:tc>
      </w:tr>
      <w:tr>
        <w:tc>
          <w:tcPr>
            <w:tcW w:type="dxa" w:w="864"/>
          </w:tcPr>
          <w:p>
            <w:r>
              <w:t>O7</w:t>
            </w:r>
          </w:p>
        </w:tc>
        <w:tc>
          <w:tcPr>
            <w:tcW w:type="dxa" w:w="7776"/>
          </w:tcPr>
          <w:p>
            <w:r>
              <w:t>Export an approved score sheet to Excel, and to a clipboard-pastable form, with identical numbers</w:t>
            </w:r>
          </w:p>
        </w:tc>
      </w:tr>
      <w:tr>
        <w:tc>
          <w:tcPr>
            <w:tcW w:type="dxa" w:w="864"/>
          </w:tcPr>
          <w:p>
            <w:r>
              <w:t>O8</w:t>
            </w:r>
          </w:p>
        </w:tc>
        <w:tc>
          <w:tcPr>
            <w:tcW w:type="dxa" w:w="7776"/>
          </w:tcPr>
          <w:p>
            <w:r>
              <w:t>Answer student questions about a milestone from its rubric alone, escalating to faculty rather than inventing an answer</w:t>
            </w:r>
          </w:p>
        </w:tc>
      </w:tr>
      <w:tr>
        <w:tc>
          <w:tcPr>
            <w:tcW w:type="dxa" w:w="864"/>
          </w:tcPr>
          <w:p>
            <w:r>
              <w:t>O9</w:t>
            </w:r>
          </w:p>
        </w:tc>
        <w:tc>
          <w:tcPr>
            <w:tcW w:type="dxa" w:w="7776"/>
          </w:tcPr>
          <w:p>
            <w:r>
              <w:t>Keep every mark traceable — who approved it, when, against which submission version, and which rubric version</w:t>
            </w:r>
          </w:p>
        </w:tc>
      </w:tr>
      <w:tr>
        <w:tc>
          <w:tcPr>
            <w:tcW w:type="dxa" w:w="864"/>
          </w:tcPr>
          <w:p>
            <w:r>
              <w:t>O10</w:t>
            </w:r>
          </w:p>
        </w:tc>
        <w:tc>
          <w:tcPr>
            <w:tcW w:type="dxa" w:w="7776"/>
          </w:tcPr>
          <w:p>
            <w:r>
              <w:t>Allow project groups, but only where a faculty member has granted them</w:t>
            </w:r>
          </w:p>
        </w:tc>
      </w:tr>
      <w:tr>
        <w:tc>
          <w:tcPr>
            <w:tcW w:type="dxa" w:w="864"/>
          </w:tcPr>
          <w:p>
            <w:r>
              <w:t>O11</w:t>
            </w:r>
          </w:p>
        </w:tc>
        <w:tc>
          <w:tcPr>
            <w:tcW w:type="dxa" w:w="7776"/>
          </w:tcPr>
          <w:p>
            <w:r>
              <w:t>Accept a repository URL as part of a submission, only when it belongs to a GitHub account the guide already has on record</w:t>
            </w:r>
          </w:p>
        </w:tc>
      </w:tr>
    </w:tbl>
    <w:p/>
    <w:p>
      <w:pPr>
        <w:pStyle w:val="Heading1"/>
      </w:pPr>
      <w:r>
        <w:t>4. Proposed system</w:t>
      </w:r>
    </w:p>
    <w:p>
      <w:pPr>
        <w:jc w:val="both"/>
      </w:pPr>
      <w:r>
        <w:rPr>
          <w:i w:val="0"/>
        </w:rPr>
        <w:t>RubriQ is a single Streamlit application backed by SQLite, split into two layers with one hard rule between them.</w:t>
      </w:r>
    </w:p>
    <w:p>
      <w:pPr>
        <w:pStyle w:val="ListBullet"/>
        <w:jc w:val="both"/>
      </w:pPr>
      <w:r>
        <w:rPr>
          <w:b/>
        </w:rPr>
        <w:t xml:space="preserve">core/ — the domain. </w:t>
      </w:r>
      <w:r>
        <w:t>All logic as plain Python with zero Streamlit imports: authentication and role resolution, academics, rubric versioning, submissions, project groups, the deterministic scoring engine, the AI layer, exports, and the audit log. This is the part that is unit-tested, and the part that would survive replacing the interface.</w:t>
      </w:r>
    </w:p>
    <w:p>
      <w:pPr>
        <w:pStyle w:val="ListBullet"/>
        <w:jc w:val="both"/>
      </w:pPr>
      <w:r>
        <w:rPr>
          <w:b/>
        </w:rPr>
        <w:t xml:space="preserve">app/ — the view. </w:t>
      </w:r>
      <w:r>
        <w:t>A thin layer of pages and components that calls core/ and renders the result. It computes no marks and writes no queries of its own.</w:t>
      </w:r>
    </w:p>
    <w:p>
      <w:pPr>
        <w:jc w:val="both"/>
      </w:pPr>
      <w:r>
        <w:rPr>
          <w:i w:val="0"/>
        </w:rPr>
        <w:t>The separation is enforced by a test that searches every file under core/ for a Streamlit import and fails if it finds one, so the rule cannot erode quietly.</w:t>
      </w:r>
    </w:p>
    <w:p>
      <w:pPr>
        <w:jc w:val="both"/>
      </w:pPr>
      <w:r>
        <w:rPr>
          <w:i w:val="0"/>
        </w:rPr>
        <w:t>Responsibility is split the same way. The language model reads and judges; all arithmetic that decides a mark happens in Python, in one module, with a table-driven test behind it. A wrong verdict is a disagreement a faculty member can see and override. A wrong total would be an error nobody would catch.</w:t>
      </w:r>
    </w:p>
    <w:p>
      <w:pPr>
        <w:pStyle w:val="Heading1"/>
      </w:pPr>
      <w:r>
        <w:t>5. Scope</w:t>
      </w:r>
    </w:p>
    <w:p>
      <w:pPr>
        <w:pStyle w:val="Heading2"/>
      </w:pPr>
      <w:r>
        <w:t>5.1 In scope</w:t>
      </w:r>
    </w:p>
    <w:p>
      <w:pPr>
        <w:pStyle w:val="ListBullet"/>
        <w:jc w:val="both"/>
      </w:pPr>
      <w:r>
        <w:t>Google sign-in restricted to @pccoepune.org, with the role resolved server-side from a seeded faculty allow-list</w:t>
      </w:r>
    </w:p>
    <w:p>
      <w:pPr>
        <w:pStyle w:val="ListBullet"/>
        <w:jc w:val="both"/>
      </w:pPr>
      <w:r>
        <w:t>Subjects, project cycles, enrolment including a validated CSV import, and review milestones</w:t>
      </w:r>
    </w:p>
    <w:p>
      <w:pPr>
        <w:pStyle w:val="ListBullet"/>
        <w:jc w:val="both"/>
      </w:pPr>
      <w:r>
        <w:t>Rubric authoring with weight validation, publish-freezes-version semantics, and cloning a published rubric to a new draft</w:t>
      </w:r>
    </w:p>
    <w:p>
      <w:pPr>
        <w:pStyle w:val="ListBullet"/>
        <w:jc w:val="both"/>
      </w:pPr>
      <w:r>
        <w:t>Student submission with version history and server-side text extraction</w:t>
      </w:r>
    </w:p>
    <w:p>
      <w:pPr>
        <w:pStyle w:val="ListBullet"/>
        <w:jc w:val="both"/>
      </w:pPr>
      <w:r>
        <w:t>Project groups, requested by a student or formed by the guide, and active only once granted — a granted group submits once, and every member shares the version, the score sheet, and the approval</w:t>
      </w:r>
    </w:p>
    <w:p>
      <w:pPr>
        <w:pStyle w:val="ListBullet"/>
        <w:jc w:val="both"/>
      </w:pPr>
      <w:r>
        <w:t>GitHub repository links, accepted only when owned by an account the faculty member has recorded for that student or a granted group-mate</w:t>
      </w:r>
    </w:p>
    <w:p>
      <w:pPr>
        <w:pStyle w:val="ListBullet"/>
        <w:jc w:val="both"/>
      </w:pPr>
      <w:r>
        <w:t>AI evaluation against a published rubric, with a fuzzy-match evidence guard that demotes unverifiable claims to NO_EVIDENCE</w:t>
      </w:r>
    </w:p>
    <w:p>
      <w:pPr>
        <w:pStyle w:val="ListBullet"/>
        <w:jc w:val="both"/>
      </w:pPr>
      <w:r>
        <w:t>Deterministic late-penalty and absence policy</w:t>
      </w:r>
    </w:p>
    <w:p>
      <w:pPr>
        <w:pStyle w:val="ListBullet"/>
        <w:jc w:val="both"/>
      </w:pPr>
      <w:r>
        <w:t>A faculty review grid: per-criterion verdicts, an evidence drawer, override with a mandatory reason, and single or bulk approval</w:t>
      </w:r>
    </w:p>
    <w:p>
      <w:pPr>
        <w:pStyle w:val="ListBullet"/>
        <w:jc w:val="both"/>
      </w:pPr>
      <w:r>
        <w:t>Excel (.xlsx) and TSV export, both built from persisted score sheets</w:t>
      </w:r>
    </w:p>
    <w:p>
      <w:pPr>
        <w:pStyle w:val="ListBullet"/>
        <w:jc w:val="both"/>
      </w:pPr>
      <w:r>
        <w:t>A student assistant scoped to one milestone's published rubric, with escalation to a faculty inbox</w:t>
      </w:r>
    </w:p>
    <w:p>
      <w:pPr>
        <w:pStyle w:val="ListBullet"/>
        <w:jc w:val="both"/>
      </w:pPr>
      <w:r>
        <w:t>Post-approval student feedback showing what was and was not followed</w:t>
      </w:r>
    </w:p>
    <w:p>
      <w:pPr>
        <w:pStyle w:val="ListBullet"/>
        <w:jc w:val="both"/>
      </w:pPr>
      <w:r>
        <w:t>Reports: score distribution, weakest criterion, and attendance mix</w:t>
      </w:r>
    </w:p>
    <w:p>
      <w:pPr>
        <w:pStyle w:val="ListBullet"/>
        <w:jc w:val="both"/>
      </w:pPr>
      <w:r>
        <w:t>An append-only audit log, surfaced in the interface</w:t>
      </w:r>
    </w:p>
    <w:p>
      <w:pPr>
        <w:pStyle w:val="Heading2"/>
      </w:pPr>
      <w:r>
        <w:t>5.2 Out of scope</w:t>
      </w:r>
    </w:p>
    <w:p>
      <w:pPr>
        <w:jc w:val="both"/>
      </w:pPr>
      <w:r>
        <w:rPr>
          <w:i w:val="0"/>
        </w:rPr>
        <w:t>Declared explicitly, so that it is not mistaken at the review for something the project failed to do:</w:t>
      </w:r>
    </w:p>
    <w:p>
      <w:pPr>
        <w:pStyle w:val="ListBullet"/>
        <w:jc w:val="both"/>
      </w:pPr>
      <w:r>
        <w:t>Plagiarism or similarity detection</w:t>
      </w:r>
    </w:p>
    <w:p>
      <w:pPr>
        <w:pStyle w:val="ListBullet"/>
        <w:jc w:val="both"/>
      </w:pPr>
      <w:r>
        <w:t>Executing, compiling, or testing student code</w:t>
      </w:r>
    </w:p>
    <w:p>
      <w:pPr>
        <w:pStyle w:val="ListBullet"/>
        <w:jc w:val="both"/>
      </w:pPr>
      <w:r>
        <w:t>A mobile application</w:t>
      </w:r>
    </w:p>
    <w:p>
      <w:pPr>
        <w:pStyle w:val="ListBullet"/>
        <w:jc w:val="both"/>
      </w:pPr>
      <w:r>
        <w:t>LMS or ERP integration</w:t>
      </w:r>
    </w:p>
    <w:p>
      <w:pPr>
        <w:pStyle w:val="ListBullet"/>
        <w:jc w:val="both"/>
      </w:pPr>
      <w:r>
        <w:t>Multi-institution tenancy</w:t>
      </w:r>
    </w:p>
    <w:p>
      <w:pPr>
        <w:pStyle w:val="ListBullet"/>
        <w:jc w:val="both"/>
      </w:pPr>
      <w:r>
        <w:t>Production cloud deployment with real student data</w:t>
      </w:r>
    </w:p>
    <w:p>
      <w:pPr>
        <w:pStyle w:val="ListBullet"/>
        <w:jc w:val="both"/>
      </w:pPr>
      <w:r>
        <w:t>Real-time collaborative editing</w:t>
      </w:r>
    </w:p>
    <w:p>
      <w:pPr>
        <w:pStyle w:val="ListBullet"/>
        <w:jc w:val="both"/>
      </w:pPr>
      <w:r>
        <w:t>Deep content analysis of images or video inside a submission</w:t>
      </w:r>
    </w:p>
    <w:p>
      <w:pPr>
        <w:pStyle w:val="ListBullet"/>
        <w:jc w:val="both"/>
      </w:pPr>
      <w:r>
        <w:t>Fetching, cloning, or reading the contents of a linked repository. A repository URL is recorded and shown; it is never downloaded. Marks come from evidence in the submitted document, because a span the guard cannot verify is not evidence</w:t>
      </w:r>
    </w:p>
    <w:p>
      <w:pPr>
        <w:pStyle w:val="Heading1"/>
      </w:pPr>
      <w:r>
        <w:t>6. Technology</w:t>
      </w:r>
    </w:p>
    <w:tbl>
      <w:tblPr>
        <w:tblStyle w:val="TableGrid"/>
        <w:tblW w:type="auto" w:w="0"/>
        <w:jc w:val="center"/>
        <w:tblLook w:firstColumn="1" w:firstRow="1" w:lastColumn="0" w:lastRow="0" w:noHBand="0" w:noVBand="1" w:val="04A0"/>
      </w:tblPr>
      <w:tblGrid>
        <w:gridCol w:w="4608"/>
        <w:gridCol w:w="4608"/>
      </w:tblGrid>
      <w:tr>
        <w:tc>
          <w:tcPr>
            <w:tcW w:type="dxa" w:w="2448"/>
          </w:tcPr>
          <w:p>
            <w:r>
              <w:rPr>
                <w:b/>
              </w:rPr>
              <w:t>Layer</w:t>
            </w:r>
          </w:p>
        </w:tc>
        <w:tc>
          <w:tcPr>
            <w:tcW w:type="dxa" w:w="6192"/>
          </w:tcPr>
          <w:p>
            <w:r>
              <w:rPr>
                <w:b/>
              </w:rPr>
              <w:t>Choice</w:t>
            </w:r>
          </w:p>
        </w:tc>
      </w:tr>
      <w:tr>
        <w:tc>
          <w:tcPr>
            <w:tcW w:type="dxa" w:w="2448"/>
          </w:tcPr>
          <w:p>
            <w:r>
              <w:t>Application</w:t>
            </w:r>
          </w:p>
        </w:tc>
        <w:tc>
          <w:tcPr>
            <w:tcW w:type="dxa" w:w="6192"/>
          </w:tcPr>
          <w:p>
            <w:r>
              <w:t>Streamlit ≥ 1.42, multipage via st.navigation</w:t>
            </w:r>
          </w:p>
        </w:tc>
      </w:tr>
      <w:tr>
        <w:tc>
          <w:tcPr>
            <w:tcW w:type="dxa" w:w="2448"/>
          </w:tcPr>
          <w:p>
            <w:r>
              <w:t>Authentication</w:t>
            </w:r>
          </w:p>
        </w:tc>
        <w:tc>
          <w:tcPr>
            <w:tcW w:type="dxa" w:w="6192"/>
          </w:tcPr>
          <w:p>
            <w:r>
              <w:t>st.login() / st.user, Google OIDC, hd=pccoepune.org</w:t>
            </w:r>
          </w:p>
        </w:tc>
      </w:tr>
      <w:tr>
        <w:tc>
          <w:tcPr>
            <w:tcW w:type="dxa" w:w="2448"/>
          </w:tcPr>
          <w:p>
            <w:r>
              <w:t>Database</w:t>
            </w:r>
          </w:p>
        </w:tc>
        <w:tc>
          <w:tcPr>
            <w:tcW w:type="dxa" w:w="6192"/>
          </w:tcPr>
          <w:p>
            <w:r>
              <w:t>SQLite via SQLAlchemy 2.0 (WAL, busy_timeout, foreign_keys=ON)</w:t>
            </w:r>
          </w:p>
        </w:tc>
      </w:tr>
      <w:tr>
        <w:tc>
          <w:tcPr>
            <w:tcW w:type="dxa" w:w="2448"/>
          </w:tcPr>
          <w:p>
            <w:r>
              <w:t>Migrations</w:t>
            </w:r>
          </w:p>
        </w:tc>
        <w:tc>
          <w:tcPr>
            <w:tcW w:type="dxa" w:w="6192"/>
          </w:tcPr>
          <w:p>
            <w:r>
              <w:t>Alembic</w:t>
            </w:r>
          </w:p>
        </w:tc>
      </w:tr>
      <w:tr>
        <w:tc>
          <w:tcPr>
            <w:tcW w:type="dxa" w:w="2448"/>
          </w:tcPr>
          <w:p>
            <w:r>
              <w:t>Validation</w:t>
            </w:r>
          </w:p>
        </w:tc>
        <w:tc>
          <w:tcPr>
            <w:tcW w:type="dxa" w:w="6192"/>
          </w:tcPr>
          <w:p>
            <w:r>
              <w:t>Pydantic v2</w:t>
            </w:r>
          </w:p>
        </w:tc>
      </w:tr>
      <w:tr>
        <w:tc>
          <w:tcPr>
            <w:tcW w:type="dxa" w:w="2448"/>
          </w:tcPr>
          <w:p>
            <w:r>
              <w:t>File parsing</w:t>
            </w:r>
          </w:p>
        </w:tc>
        <w:tc>
          <w:tcPr>
            <w:tcW w:type="dxa" w:w="6192"/>
          </w:tcPr>
          <w:p>
            <w:r>
              <w:t>pdfplumber, python-docx</w:t>
            </w:r>
          </w:p>
        </w:tc>
      </w:tr>
      <w:tr>
        <w:tc>
          <w:tcPr>
            <w:tcW w:type="dxa" w:w="2448"/>
          </w:tcPr>
          <w:p>
            <w:r>
              <w:t>AI orchestration</w:t>
            </w:r>
          </w:p>
        </w:tc>
        <w:tc>
          <w:tcPr>
            <w:tcW w:type="dxa" w:w="6192"/>
          </w:tcPr>
          <w:p>
            <w:r>
              <w:t>LangGraph with SqliteSaver checkpointing</w:t>
            </w:r>
          </w:p>
        </w:tc>
      </w:tr>
      <w:tr>
        <w:tc>
          <w:tcPr>
            <w:tcW w:type="dxa" w:w="2448"/>
          </w:tcPr>
          <w:p>
            <w:r>
              <w:t>AI model</w:t>
            </w:r>
          </w:p>
        </w:tc>
        <w:tc>
          <w:tcPr>
            <w:tcW w:type="dxa" w:w="6192"/>
          </w:tcPr>
          <w:p>
            <w:r>
              <w:t>Google Gemini (gemini-3.6-flash), behind a one-method provider protocol</w:t>
            </w:r>
          </w:p>
        </w:tc>
      </w:tr>
      <w:tr>
        <w:tc>
          <w:tcPr>
            <w:tcW w:type="dxa" w:w="2448"/>
          </w:tcPr>
          <w:p>
            <w:r>
              <w:t>Evidence guard</w:t>
            </w:r>
          </w:p>
        </w:tc>
        <w:tc>
          <w:tcPr>
            <w:tcW w:type="dxa" w:w="6192"/>
          </w:tcPr>
          <w:p>
            <w:r>
              <w:t>rapidfuzz partial_ratio ≥ 90</w:t>
            </w:r>
          </w:p>
        </w:tc>
      </w:tr>
      <w:tr>
        <w:tc>
          <w:tcPr>
            <w:tcW w:type="dxa" w:w="2448"/>
          </w:tcPr>
          <w:p>
            <w:r>
              <w:t>Export</w:t>
            </w:r>
          </w:p>
        </w:tc>
        <w:tc>
          <w:tcPr>
            <w:tcW w:type="dxa" w:w="6192"/>
          </w:tcPr>
          <w:p>
            <w:r>
              <w:t>openpyxl</w:t>
            </w:r>
          </w:p>
        </w:tc>
      </w:tr>
      <w:tr>
        <w:tc>
          <w:tcPr>
            <w:tcW w:type="dxa" w:w="2448"/>
          </w:tcPr>
          <w:p>
            <w:r>
              <w:t>Testing</w:t>
            </w:r>
          </w:p>
        </w:tc>
        <w:tc>
          <w:tcPr>
            <w:tcW w:type="dxa" w:w="6192"/>
          </w:tcPr>
          <w:p>
            <w:r>
              <w:t>pytest — 542 tests, all passing</w:t>
            </w:r>
          </w:p>
        </w:tc>
      </w:tr>
    </w:tbl>
    <w:p/>
    <w:p>
      <w:pPr>
        <w:pStyle w:val="Heading1"/>
      </w:pPr>
      <w:r>
        <w:t>7. Expected outcome</w:t>
      </w:r>
    </w:p>
    <w:p>
      <w:pPr>
        <w:jc w:val="both"/>
      </w:pPr>
      <w:r>
        <w:rPr>
          <w:i w:val="0"/>
        </w:rPr>
        <w:t>The system can be demonstrated end to end from a single command, producing a populated cohort in which a rubric is published; submissions arrive on time, late, and not at all; a group submits as one; an evaluation runs; evidence is verified; one criterion is demoted for want of evidence; penalties apply from the policy table; a faculty member approves; and an Excel file falls out carrying the same numbers as the screen.</w:t>
      </w:r>
    </w:p>
    <w:p>
      <w:pPr>
        <w:jc w:val="both"/>
      </w:pPr>
      <w:r>
        <w:rPr>
          <w:i w:val="0"/>
        </w:rPr>
        <w:t>The empirical result worth reporting is the evidence rejection rate: how often the model cited something that is not actually in the student's document and was therefore refused. That number is what distinguishes this from asking a chatbot to grade an essay.</w:t>
      </w:r>
    </w:p>
    <w:p>
      <w:pPr>
        <w:pStyle w:val="Heading1"/>
      </w:pPr>
      <w:r>
        <w:t>8. Accompanying SDLC documents</w:t>
      </w:r>
    </w:p>
    <w:p>
      <w:pPr>
        <w:jc w:val="both"/>
      </w:pPr>
      <w:r>
        <w:rPr>
          <w:i w:val="0"/>
        </w:rPr>
        <w:t>This synopsis is one of nine documents. The remainder are maintained alongside the source code, so a claim that has stopped being true is visible rather than merely plausible.</w:t>
      </w:r>
    </w:p>
    <w:tbl>
      <w:tblPr>
        <w:tblStyle w:val="TableGrid"/>
        <w:tblW w:type="auto" w:w="0"/>
        <w:tblLook w:firstColumn="1" w:firstRow="1" w:lastColumn="0" w:lastRow="0" w:noHBand="0" w:noVBand="1" w:val="04A0"/>
      </w:tblPr>
      <w:tblGrid>
        <w:gridCol w:w="3072"/>
        <w:gridCol w:w="3072"/>
        <w:gridCol w:w="3072"/>
      </w:tblGrid>
      <w:tr>
        <w:tc>
          <w:tcPr>
            <w:tcW w:type="dxa" w:w="2016"/>
          </w:tcPr>
          <w:p>
            <w:r>
              <w:rPr>
                <w:b/>
              </w:rPr>
              <w:t>Document</w:t>
            </w:r>
          </w:p>
        </w:tc>
        <w:tc>
          <w:tcPr>
            <w:tcW w:type="dxa" w:w="2448"/>
          </w:tcPr>
          <w:p>
            <w:r>
              <w:rPr>
                <w:b/>
              </w:rPr>
              <w:t>File</w:t>
            </w:r>
          </w:p>
        </w:tc>
        <w:tc>
          <w:tcPr>
            <w:tcW w:type="dxa" w:w="4176"/>
          </w:tcPr>
          <w:p>
            <w:r>
              <w:rPr>
                <w:b/>
              </w:rPr>
              <w:t>Covers</w:t>
            </w:r>
          </w:p>
        </w:tc>
      </w:tr>
      <w:tr>
        <w:tc>
          <w:tcPr>
            <w:tcW w:type="dxa" w:w="2016"/>
          </w:tcPr>
          <w:p>
            <w:r>
              <w:t>Requirement analysis</w:t>
            </w:r>
          </w:p>
        </w:tc>
        <w:tc>
          <w:tcPr>
            <w:tcW w:type="dxa" w:w="2448"/>
          </w:tcPr>
          <w:p>
            <w:r>
              <w:rPr>
                <w:rFonts w:ascii="Consolas" w:hAnsi="Consolas"/>
              </w:rPr>
              <w:t>docs/requirements.md</w:t>
            </w:r>
          </w:p>
        </w:tc>
        <w:tc>
          <w:tcPr>
            <w:tcW w:type="dxa" w:w="4176"/>
          </w:tcPr>
          <w:p>
            <w:r>
              <w:t>66 functional and 13 non-functional requirements, each traced to a module and a test</w:t>
            </w:r>
          </w:p>
        </w:tc>
      </w:tr>
      <w:tr>
        <w:tc>
          <w:tcPr>
            <w:tcW w:type="dxa" w:w="2016"/>
          </w:tcPr>
          <w:p>
            <w:r>
              <w:t>SRS</w:t>
            </w:r>
          </w:p>
        </w:tc>
        <w:tc>
          <w:tcPr>
            <w:tcW w:type="dxa" w:w="2448"/>
          </w:tcPr>
          <w:p>
            <w:r>
              <w:rPr>
                <w:rFonts w:ascii="Consolas" w:hAnsi="Consolas"/>
              </w:rPr>
              <w:t>docs/srs.md</w:t>
            </w:r>
          </w:p>
        </w:tc>
        <w:tc>
          <w:tcPr>
            <w:tcW w:type="dxa" w:w="4176"/>
          </w:tcPr>
          <w:p>
            <w:r>
              <w:t>Assumptions, constraints, external interfaces, glossary</w:t>
            </w:r>
          </w:p>
        </w:tc>
      </w:tr>
      <w:tr>
        <w:tc>
          <w:tcPr>
            <w:tcW w:type="dxa" w:w="2016"/>
          </w:tcPr>
          <w:p>
            <w:r>
              <w:t>Design</w:t>
            </w:r>
          </w:p>
        </w:tc>
        <w:tc>
          <w:tcPr>
            <w:tcW w:type="dxa" w:w="2448"/>
          </w:tcPr>
          <w:p>
            <w:r>
              <w:rPr>
                <w:rFonts w:ascii="Consolas" w:hAnsi="Consolas"/>
              </w:rPr>
              <w:t>docs/design.md</w:t>
            </w:r>
          </w:p>
        </w:tc>
        <w:tc>
          <w:tcPr>
            <w:tcW w:type="dxa" w:w="4176"/>
          </w:tcPr>
          <w:p>
            <w:r>
              <w:t>Architecture reasoning, with six diagrams in docs/diagrams/</w:t>
            </w:r>
          </w:p>
        </w:tc>
      </w:tr>
      <w:tr>
        <w:tc>
          <w:tcPr>
            <w:tcW w:type="dxa" w:w="2016"/>
          </w:tcPr>
          <w:p>
            <w:r>
              <w:t>Implementation</w:t>
            </w:r>
          </w:p>
        </w:tc>
        <w:tc>
          <w:tcPr>
            <w:tcW w:type="dxa" w:w="2448"/>
          </w:tcPr>
          <w:p>
            <w:r>
              <w:rPr>
                <w:rFonts w:ascii="Consolas" w:hAnsi="Consolas"/>
              </w:rPr>
              <w:t>docs/implementation.md</w:t>
            </w:r>
          </w:p>
        </w:tc>
        <w:tc>
          <w:tcPr>
            <w:tcW w:type="dxa" w:w="4176"/>
          </w:tcPr>
          <w:p>
            <w:r>
              <w:t>Module-wise write-up</w:t>
            </w:r>
          </w:p>
        </w:tc>
      </w:tr>
      <w:tr>
        <w:tc>
          <w:tcPr>
            <w:tcW w:type="dxa" w:w="2016"/>
          </w:tcPr>
          <w:p>
            <w:r>
              <w:t>Testing</w:t>
            </w:r>
          </w:p>
        </w:tc>
        <w:tc>
          <w:tcPr>
            <w:tcW w:type="dxa" w:w="2448"/>
          </w:tcPr>
          <w:p>
            <w:r>
              <w:rPr>
                <w:rFonts w:ascii="Consolas" w:hAnsi="Consolas"/>
              </w:rPr>
              <w:t>docs/test-cases.md</w:t>
            </w:r>
          </w:p>
        </w:tc>
        <w:tc>
          <w:tcPr>
            <w:tcW w:type="dxa" w:w="4176"/>
          </w:tcPr>
          <w:p>
            <w:r>
              <w:t>Automated coverage, a manual test-case table with actual results, and a defect log</w:t>
            </w:r>
          </w:p>
        </w:tc>
      </w:tr>
      <w:tr>
        <w:tc>
          <w:tcPr>
            <w:tcW w:type="dxa" w:w="2016"/>
          </w:tcPr>
          <w:p>
            <w:r>
              <w:t>Deployment</w:t>
            </w:r>
          </w:p>
        </w:tc>
        <w:tc>
          <w:tcPr>
            <w:tcW w:type="dxa" w:w="2448"/>
          </w:tcPr>
          <w:p>
            <w:r>
              <w:rPr>
                <w:rFonts w:ascii="Consolas" w:hAnsi="Consolas"/>
              </w:rPr>
              <w:t>docs/deployment.md</w:t>
            </w:r>
          </w:p>
        </w:tc>
        <w:tc>
          <w:tcPr>
            <w:tcW w:type="dxa" w:w="4176"/>
          </w:tcPr>
          <w:p>
            <w:r>
              <w:t>Setup, configuration, and a demonstration script</w:t>
            </w:r>
          </w:p>
        </w:tc>
      </w:tr>
      <w:tr>
        <w:tc>
          <w:tcPr>
            <w:tcW w:type="dxa" w:w="2016"/>
          </w:tcPr>
          <w:p>
            <w:r>
              <w:t>Limitations</w:t>
            </w:r>
          </w:p>
        </w:tc>
        <w:tc>
          <w:tcPr>
            <w:tcW w:type="dxa" w:w="2448"/>
          </w:tcPr>
          <w:p>
            <w:r>
              <w:rPr>
                <w:rFonts w:ascii="Consolas" w:hAnsi="Consolas"/>
              </w:rPr>
              <w:t>docs/limitations.md</w:t>
            </w:r>
          </w:p>
        </w:tc>
        <w:tc>
          <w:tcPr>
            <w:tcW w:type="dxa" w:w="4176"/>
          </w:tcPr>
          <w:p>
            <w:r>
              <w:t>Honest limits and future scope</w:t>
            </w:r>
          </w:p>
        </w:tc>
      </w:tr>
    </w:tbl>
    <w:p/>
    <w:p>
      <w:pPr>
        <w:jc w:val="right"/>
      </w:pPr>
      <w:r>
        <w:rPr>
          <w:b/>
        </w:rPr>
        <w:t xml:space="preserve">Guide's signature: </w:t>
      </w:r>
      <w:r>
        <w:t>__________________________</w:t>
      </w:r>
    </w:p>
    <w:sectPr w:rsidR="00FC693F" w:rsidRPr="0006063C" w:rsidSect="00034616">
      <w:type w:val="continuous"/>
      <w:pgSz w:w="12240" w:h="15840"/>
      <w:pgMar w:top="1440" w:right="1440"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064"/>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306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