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20"/>
        <w:jc w:val="center"/>
      </w:pPr>
      <w:r>
        <w:rPr>
          <w:rFonts w:ascii="Times New Roman" w:hAnsi="Times New Roman"/>
          <w:b/>
          <w:sz w:val="36"/>
        </w:rPr>
        <w:t>RubriQ — Output Screens</w:t>
      </w:r>
    </w:p>
    <w:p>
      <w:pPr>
        <w:spacing w:line="240" w:lineRule="auto" w:before="0" w:after="320"/>
        <w:jc w:val="center"/>
      </w:pPr>
      <w:r>
        <w:rPr>
          <w:rFonts w:ascii="Times New Roman" w:hAnsi="Times New Roman"/>
          <w:b w:val="0"/>
          <w:sz w:val="22"/>
        </w:rPr>
        <w:t>Captured from the running system, one screen per stage of the flow</w:t>
      </w:r>
    </w:p>
    <w:p>
      <w:pPr>
        <w:spacing w:line="360" w:lineRule="auto"/>
        <w:jc w:val="both"/>
      </w:pPr>
      <w:r>
        <w:rPr>
          <w:rFonts w:ascii="Times New Roman" w:hAnsi="Times New Roman"/>
          <w:sz w:val="24"/>
        </w:rPr>
        <w:t>The screens below follow the order in which the system is used: a user signs in, a guide sets up a subject and publishes a rubric, a student reads that rubric and submits against it, the submission is evaluated, the guide reviews and approves, and the result is reported and exported. Each figure names the stage it belongs to and what it is evidence of.</w:t>
      </w:r>
    </w:p>
    <w:p>
      <w:pPr>
        <w:spacing w:after="80"/>
      </w:pPr>
      <w:r>
        <w:rPr>
          <w:rFonts w:ascii="Times New Roman" w:hAnsi="Times New Roman"/>
          <w:b/>
          <w:sz w:val="24"/>
        </w:rPr>
        <w:t>Figures</w:t>
      </w:r>
    </w:p>
    <w:p>
      <w:pPr>
        <w:spacing w:line="360" w:lineRule="auto" w:after="20"/>
        <w:ind w:left="504"/>
      </w:pPr>
      <w:r>
        <w:rPr>
          <w:rFonts w:ascii="Times New Roman" w:hAnsi="Times New Roman"/>
          <w:sz w:val="22"/>
        </w:rPr>
        <w:t>Fig. 1  The authentication gate  ·  Stage 1 — Signing in</w:t>
      </w:r>
    </w:p>
    <w:p>
      <w:pPr>
        <w:spacing w:line="360" w:lineRule="auto" w:after="20"/>
        <w:ind w:left="504"/>
      </w:pPr>
      <w:r>
        <w:rPr>
          <w:rFonts w:ascii="Times New Roman" w:hAnsi="Times New Roman"/>
          <w:sz w:val="22"/>
        </w:rPr>
        <w:t>Fig. 2  What is waiting for the guide  ·  Stage 2 — Faculty dashboard</w:t>
      </w:r>
    </w:p>
    <w:p>
      <w:pPr>
        <w:spacing w:line="360" w:lineRule="auto" w:after="20"/>
        <w:ind w:left="504"/>
      </w:pPr>
      <w:r>
        <w:rPr>
          <w:rFonts w:ascii="Times New Roman" w:hAnsi="Times New Roman"/>
          <w:sz w:val="22"/>
        </w:rPr>
        <w:t>Fig. 3  The published rubric, frozen  ·  Stage 2 — Rubric builder</w:t>
      </w:r>
    </w:p>
    <w:p>
      <w:pPr>
        <w:spacing w:line="360" w:lineRule="auto" w:after="20"/>
        <w:ind w:left="504"/>
      </w:pPr>
      <w:r>
        <w:rPr>
          <w:rFonts w:ascii="Times New Roman" w:hAnsi="Times New Roman"/>
          <w:sz w:val="22"/>
        </w:rPr>
        <w:t>Fig. 4  The next deadline, and where each review stands  ·  Stage 3 — Student dashboard</w:t>
      </w:r>
    </w:p>
    <w:p>
      <w:pPr>
        <w:spacing w:line="360" w:lineRule="auto" w:after="20"/>
        <w:ind w:left="504"/>
      </w:pPr>
      <w:r>
        <w:rPr>
          <w:rFonts w:ascii="Times New Roman" w:hAnsi="Times New Roman"/>
          <w:sz w:val="22"/>
        </w:rPr>
        <w:t>Fig. 5  The rubric is shown before the upload box  ·  Stage 3 — Student submission</w:t>
      </w:r>
    </w:p>
    <w:p>
      <w:pPr>
        <w:spacing w:line="360" w:lineRule="auto" w:after="20"/>
        <w:ind w:left="504"/>
      </w:pPr>
      <w:r>
        <w:rPr>
          <w:rFonts w:ascii="Times New Roman" w:hAnsi="Times New Roman"/>
          <w:sz w:val="22"/>
        </w:rPr>
        <w:t>Fig. 6  One row per student, one column per criterion  ·  Stage 5 — Review grid</w:t>
      </w:r>
    </w:p>
    <w:p>
      <w:pPr>
        <w:spacing w:line="360" w:lineRule="auto" w:after="20"/>
        <w:ind w:left="504"/>
      </w:pPr>
      <w:r>
        <w:rPr>
          <w:rFonts w:ascii="Times New Roman" w:hAnsi="Times New Roman"/>
          <w:sz w:val="22"/>
        </w:rPr>
        <w:t>Fig. 7  The cohort, and the department's grading scale  ·  Stage 7 — Reports</w:t>
      </w:r>
    </w:p>
    <w:p>
      <w:r>
        <w:br w:type="page"/>
      </w:r>
    </w:p>
    <w:p>
      <w:pPr>
        <w:pStyle w:val="Heading1"/>
        <w:keepNext/>
        <w:pageBreakBefore w:val="0"/>
        <w:spacing w:before="280" w:after="120" w:line="360" w:lineRule="auto"/>
        <w:jc w:val="left"/>
      </w:pPr>
      <w:r>
        <w:rPr>
          <w:rFonts w:ascii="Times New Roman" w:hAnsi="Times New Roman"/>
          <w:b/>
          <w:sz w:val="28"/>
        </w:rPr>
        <w:t>1. The authentication gate</w:t>
      </w:r>
    </w:p>
    <w:p>
      <w:pPr>
        <w:spacing w:line="360" w:lineRule="auto"/>
        <w:jc w:val="both"/>
      </w:pPr>
      <w:r>
        <w:rPr>
          <w:rFonts w:ascii="Times New Roman" w:hAnsi="Times New Roman"/>
          <w:sz w:val="24"/>
        </w:rPr>
        <w:t>Stage 1 — Signing in</w:t>
      </w:r>
    </w:p>
    <w:p>
      <w:pPr>
        <w:spacing w:line="360" w:lineRule="auto"/>
        <w:jc w:val="both"/>
      </w:pPr>
      <w:r>
        <w:rPr>
          <w:rFonts w:ascii="Times New Roman" w:hAnsi="Times New Roman"/>
          <w:sz w:val="24"/>
        </w:rPr>
        <w:t>The only way into the system. Sign-in is through the institute's Google account, and the address is checked against the permitted domain on the server after Google returns it. The role — faculty or student — is then resolved from a list held by the institution, so a user cannot choose their own.</w:t>
      </w:r>
    </w:p>
    <w:p>
      <w:pPr>
        <w:keepNext/>
        <w:spacing w:before="80" w:after="80"/>
        <w:jc w:val="center"/>
      </w:pPr>
      <w:r>
        <w:drawing>
          <wp:inline xmlns:a="http://schemas.openxmlformats.org/drawingml/2006/main" xmlns:pic="http://schemas.openxmlformats.org/drawingml/2006/picture">
            <wp:extent cx="5394960" cy="3034665"/>
            <wp:docPr id="1" name="Picture 1"/>
            <wp:cNvGraphicFramePr>
              <a:graphicFrameLocks noChangeAspect="1"/>
            </wp:cNvGraphicFramePr>
            <a:graphic>
              <a:graphicData uri="http://schemas.openxmlformats.org/drawingml/2006/picture">
                <pic:pic>
                  <pic:nvPicPr>
                    <pic:cNvPr id="0" name="01-sign-in.jpg"/>
                    <pic:cNvPicPr/>
                  </pic:nvPicPr>
                  <pic:blipFill>
                    <a:blip r:embed="rId10"/>
                    <a:stretch>
                      <a:fillRect/>
                    </a:stretch>
                  </pic:blipFill>
                  <pic:spPr>
                    <a:xfrm>
                      <a:off x="0" y="0"/>
                      <a:ext cx="5394960" cy="3034665"/>
                    </a:xfrm>
                    <a:prstGeom prst="rect"/>
                  </pic:spPr>
                </pic:pic>
              </a:graphicData>
            </a:graphic>
          </wp:inline>
        </w:drawing>
      </w:r>
    </w:p>
    <w:p>
      <w:pPr>
        <w:spacing w:line="240" w:lineRule="auto" w:after="200"/>
        <w:jc w:val="center"/>
      </w:pPr>
      <w:r>
        <w:rPr>
          <w:rFonts w:ascii="Times New Roman" w:hAnsi="Times New Roman"/>
          <w:i/>
          <w:sz w:val="22"/>
        </w:rPr>
        <w:t>Fig. 1 — The authentication gate</w:t>
      </w:r>
    </w:p>
    <w:p>
      <w:r>
        <w:br w:type="page"/>
      </w:r>
    </w:p>
    <w:p>
      <w:pPr>
        <w:pStyle w:val="Heading1"/>
        <w:keepNext/>
        <w:pageBreakBefore w:val="0"/>
        <w:spacing w:before="280" w:after="120" w:line="360" w:lineRule="auto"/>
        <w:jc w:val="left"/>
      </w:pPr>
      <w:r>
        <w:rPr>
          <w:rFonts w:ascii="Times New Roman" w:hAnsi="Times New Roman"/>
          <w:b/>
          <w:sz w:val="28"/>
        </w:rPr>
        <w:t>2. What is waiting for the guide</w:t>
      </w:r>
    </w:p>
    <w:p>
      <w:pPr>
        <w:spacing w:line="360" w:lineRule="auto"/>
        <w:jc w:val="both"/>
      </w:pPr>
      <w:r>
        <w:rPr>
          <w:rFonts w:ascii="Times New Roman" w:hAnsi="Times New Roman"/>
          <w:sz w:val="24"/>
        </w:rPr>
        <w:t>Stage 2 — Faculty dashboard</w:t>
      </w:r>
    </w:p>
    <w:p>
      <w:pPr>
        <w:spacing w:line="360" w:lineRule="auto"/>
        <w:jc w:val="both"/>
      </w:pPr>
      <w:r>
        <w:rPr>
          <w:rFonts w:ascii="Times New Roman" w:hAnsi="Times New Roman"/>
          <w:sz w:val="24"/>
        </w:rPr>
        <w:t>Sixty-seven enrolled students and eighty-five rows awaiting a decision across both reviews. Each line under “Waiting on you” is a link to the page that resolves it. The progress bar below reports forty-nine of sixty-seven approved for the selected review.</w:t>
      </w:r>
    </w:p>
    <w:p>
      <w:pPr>
        <w:keepNext/>
        <w:spacing w:before="80" w:after="80"/>
        <w:jc w:val="center"/>
      </w:pPr>
      <w:r>
        <w:drawing>
          <wp:inline xmlns:a="http://schemas.openxmlformats.org/drawingml/2006/main" xmlns:pic="http://schemas.openxmlformats.org/drawingml/2006/picture">
            <wp:extent cx="5394960" cy="3034665"/>
            <wp:docPr id="2" name="Picture 2"/>
            <wp:cNvGraphicFramePr>
              <a:graphicFrameLocks noChangeAspect="1"/>
            </wp:cNvGraphicFramePr>
            <a:graphic>
              <a:graphicData uri="http://schemas.openxmlformats.org/drawingml/2006/picture">
                <pic:pic>
                  <pic:nvPicPr>
                    <pic:cNvPr id="0" name="02-faculty-dashboard.jpg"/>
                    <pic:cNvPicPr/>
                  </pic:nvPicPr>
                  <pic:blipFill>
                    <a:blip r:embed="rId11"/>
                    <a:stretch>
                      <a:fillRect/>
                    </a:stretch>
                  </pic:blipFill>
                  <pic:spPr>
                    <a:xfrm>
                      <a:off x="0" y="0"/>
                      <a:ext cx="5394960" cy="3034665"/>
                    </a:xfrm>
                    <a:prstGeom prst="rect"/>
                  </pic:spPr>
                </pic:pic>
              </a:graphicData>
            </a:graphic>
          </wp:inline>
        </w:drawing>
      </w:r>
    </w:p>
    <w:p>
      <w:pPr>
        <w:spacing w:line="240" w:lineRule="auto" w:after="200"/>
        <w:jc w:val="center"/>
      </w:pPr>
      <w:r>
        <w:rPr>
          <w:rFonts w:ascii="Times New Roman" w:hAnsi="Times New Roman"/>
          <w:i/>
          <w:sz w:val="22"/>
        </w:rPr>
        <w:t>Fig. 2 — What is waiting for the guide</w:t>
      </w:r>
    </w:p>
    <w:p>
      <w:r>
        <w:br w:type="page"/>
      </w:r>
    </w:p>
    <w:p>
      <w:pPr>
        <w:pStyle w:val="Heading1"/>
        <w:keepNext/>
        <w:pageBreakBefore w:val="0"/>
        <w:spacing w:before="280" w:after="120" w:line="360" w:lineRule="auto"/>
        <w:jc w:val="left"/>
      </w:pPr>
      <w:r>
        <w:rPr>
          <w:rFonts w:ascii="Times New Roman" w:hAnsi="Times New Roman"/>
          <w:b/>
          <w:sz w:val="28"/>
        </w:rPr>
        <w:t>3. The published rubric, frozen</w:t>
      </w:r>
    </w:p>
    <w:p>
      <w:pPr>
        <w:spacing w:line="360" w:lineRule="auto"/>
        <w:jc w:val="both"/>
      </w:pPr>
      <w:r>
        <w:rPr>
          <w:rFonts w:ascii="Times New Roman" w:hAnsi="Times New Roman"/>
          <w:sz w:val="24"/>
        </w:rPr>
        <w:t>Stage 2 — Rubric builder</w:t>
      </w:r>
    </w:p>
    <w:p>
      <w:pPr>
        <w:spacing w:line="360" w:lineRule="auto"/>
        <w:jc w:val="both"/>
      </w:pPr>
      <w:r>
        <w:rPr>
          <w:rFonts w:ascii="Times New Roman" w:hAnsi="Times New Roman"/>
          <w:sz w:val="24"/>
        </w:rPr>
        <w:t>The department's five criteria with the evidence each expects, and the two that are mandatory. The version is marked published and frozen: it cannot be edited in place, and the only way forward is “Edit as new version”, which leaves work already graded against this version valid.</w:t>
      </w:r>
    </w:p>
    <w:p>
      <w:pPr>
        <w:keepNext/>
        <w:spacing w:before="80" w:after="80"/>
        <w:jc w:val="center"/>
      </w:pPr>
      <w:r>
        <w:drawing>
          <wp:inline xmlns:a="http://schemas.openxmlformats.org/drawingml/2006/main" xmlns:pic="http://schemas.openxmlformats.org/drawingml/2006/picture">
            <wp:extent cx="5394960" cy="3034665"/>
            <wp:docPr id="3" name="Picture 3"/>
            <wp:cNvGraphicFramePr>
              <a:graphicFrameLocks noChangeAspect="1"/>
            </wp:cNvGraphicFramePr>
            <a:graphic>
              <a:graphicData uri="http://schemas.openxmlformats.org/drawingml/2006/picture">
                <pic:pic>
                  <pic:nvPicPr>
                    <pic:cNvPr id="0" name="03-rubric-builder.jpg"/>
                    <pic:cNvPicPr/>
                  </pic:nvPicPr>
                  <pic:blipFill>
                    <a:blip r:embed="rId12"/>
                    <a:stretch>
                      <a:fillRect/>
                    </a:stretch>
                  </pic:blipFill>
                  <pic:spPr>
                    <a:xfrm>
                      <a:off x="0" y="0"/>
                      <a:ext cx="5394960" cy="3034665"/>
                    </a:xfrm>
                    <a:prstGeom prst="rect"/>
                  </pic:spPr>
                </pic:pic>
              </a:graphicData>
            </a:graphic>
          </wp:inline>
        </w:drawing>
      </w:r>
    </w:p>
    <w:p>
      <w:pPr>
        <w:spacing w:line="240" w:lineRule="auto" w:after="200"/>
        <w:jc w:val="center"/>
      </w:pPr>
      <w:r>
        <w:rPr>
          <w:rFonts w:ascii="Times New Roman" w:hAnsi="Times New Roman"/>
          <w:i/>
          <w:sz w:val="22"/>
        </w:rPr>
        <w:t>Fig. 3 — The published rubric, frozen</w:t>
      </w:r>
    </w:p>
    <w:p>
      <w:r>
        <w:br w:type="page"/>
      </w:r>
    </w:p>
    <w:p>
      <w:pPr>
        <w:pStyle w:val="Heading1"/>
        <w:keepNext/>
        <w:pageBreakBefore w:val="0"/>
        <w:spacing w:before="280" w:after="120" w:line="360" w:lineRule="auto"/>
        <w:jc w:val="left"/>
      </w:pPr>
      <w:r>
        <w:rPr>
          <w:rFonts w:ascii="Times New Roman" w:hAnsi="Times New Roman"/>
          <w:b/>
          <w:sz w:val="28"/>
        </w:rPr>
        <w:t>4. The next deadline, and where each review stands</w:t>
      </w:r>
    </w:p>
    <w:p>
      <w:pPr>
        <w:spacing w:line="360" w:lineRule="auto"/>
        <w:jc w:val="both"/>
      </w:pPr>
      <w:r>
        <w:rPr>
          <w:rFonts w:ascii="Times New Roman" w:hAnsi="Times New Roman"/>
          <w:sz w:val="24"/>
        </w:rPr>
        <w:t>Stage 3 — Student dashboard</w:t>
      </w:r>
    </w:p>
    <w:p>
      <w:pPr>
        <w:spacing w:line="360" w:lineRule="auto"/>
        <w:jc w:val="both"/>
      </w:pPr>
      <w:r>
        <w:rPr>
          <w:rFonts w:ascii="Times New Roman" w:hAnsi="Times New Roman"/>
          <w:sz w:val="24"/>
        </w:rPr>
        <w:t>The countdown answers the question the page is opened to ask. Below it, each review carries its own status — submitted at version one, or not yet submitted — so the student never has to work it out from a date.</w:t>
      </w:r>
    </w:p>
    <w:p>
      <w:pPr>
        <w:keepNext/>
        <w:spacing w:before="80" w:after="80"/>
        <w:jc w:val="center"/>
      </w:pPr>
      <w:r>
        <w:drawing>
          <wp:inline xmlns:a="http://schemas.openxmlformats.org/drawingml/2006/main" xmlns:pic="http://schemas.openxmlformats.org/drawingml/2006/picture">
            <wp:extent cx="5394960" cy="3034665"/>
            <wp:docPr id="4" name="Picture 4"/>
            <wp:cNvGraphicFramePr>
              <a:graphicFrameLocks noChangeAspect="1"/>
            </wp:cNvGraphicFramePr>
            <a:graphic>
              <a:graphicData uri="http://schemas.openxmlformats.org/drawingml/2006/picture">
                <pic:pic>
                  <pic:nvPicPr>
                    <pic:cNvPr id="0" name="04-student-dashboard.jpg"/>
                    <pic:cNvPicPr/>
                  </pic:nvPicPr>
                  <pic:blipFill>
                    <a:blip r:embed="rId13"/>
                    <a:stretch>
                      <a:fillRect/>
                    </a:stretch>
                  </pic:blipFill>
                  <pic:spPr>
                    <a:xfrm>
                      <a:off x="0" y="0"/>
                      <a:ext cx="5394960" cy="3034665"/>
                    </a:xfrm>
                    <a:prstGeom prst="rect"/>
                  </pic:spPr>
                </pic:pic>
              </a:graphicData>
            </a:graphic>
          </wp:inline>
        </w:drawing>
      </w:r>
    </w:p>
    <w:p>
      <w:pPr>
        <w:spacing w:line="240" w:lineRule="auto" w:after="200"/>
        <w:jc w:val="center"/>
      </w:pPr>
      <w:r>
        <w:rPr>
          <w:rFonts w:ascii="Times New Roman" w:hAnsi="Times New Roman"/>
          <w:i/>
          <w:sz w:val="22"/>
        </w:rPr>
        <w:t>Fig. 4 — The next deadline, and where each review stands</w:t>
      </w:r>
    </w:p>
    <w:p>
      <w:r>
        <w:br w:type="page"/>
      </w:r>
    </w:p>
    <w:p>
      <w:pPr>
        <w:pStyle w:val="Heading1"/>
        <w:keepNext/>
        <w:pageBreakBefore w:val="0"/>
        <w:spacing w:before="280" w:after="120" w:line="360" w:lineRule="auto"/>
        <w:jc w:val="left"/>
      </w:pPr>
      <w:r>
        <w:rPr>
          <w:rFonts w:ascii="Times New Roman" w:hAnsi="Times New Roman"/>
          <w:b/>
          <w:sz w:val="28"/>
        </w:rPr>
        <w:t>5. The rubric is shown before the upload box</w:t>
      </w:r>
    </w:p>
    <w:p>
      <w:pPr>
        <w:spacing w:line="360" w:lineRule="auto"/>
        <w:jc w:val="both"/>
      </w:pPr>
      <w:r>
        <w:rPr>
          <w:rFonts w:ascii="Times New Roman" w:hAnsi="Times New Roman"/>
          <w:sz w:val="24"/>
        </w:rPr>
        <w:t>Stage 3 — Student submission</w:t>
      </w:r>
    </w:p>
    <w:p>
      <w:pPr>
        <w:spacing w:line="360" w:lineRule="auto"/>
        <w:jc w:val="both"/>
      </w:pPr>
      <w:r>
        <w:rPr>
          <w:rFonts w:ascii="Times New Roman" w:hAnsi="Times New Roman"/>
          <w:sz w:val="24"/>
        </w:rPr>
        <w:t>The central idea of the project, visible in one screen. “What you are being marked on” appears above “Your submission”, so the student reads the criteria before choosing a file rather than after being marked. The notice above it states the consequence of the deadline having passed before anything is confirmed.</w:t>
      </w:r>
    </w:p>
    <w:p>
      <w:pPr>
        <w:keepNext/>
        <w:spacing w:before="80" w:after="80"/>
        <w:jc w:val="center"/>
      </w:pPr>
      <w:r>
        <w:drawing>
          <wp:inline xmlns:a="http://schemas.openxmlformats.org/drawingml/2006/main" xmlns:pic="http://schemas.openxmlformats.org/drawingml/2006/picture">
            <wp:extent cx="5394960" cy="3034665"/>
            <wp:docPr id="5" name="Picture 5"/>
            <wp:cNvGraphicFramePr>
              <a:graphicFrameLocks noChangeAspect="1"/>
            </wp:cNvGraphicFramePr>
            <a:graphic>
              <a:graphicData uri="http://schemas.openxmlformats.org/drawingml/2006/picture">
                <pic:pic>
                  <pic:nvPicPr>
                    <pic:cNvPr id="0" name="05-student-submit.jpg"/>
                    <pic:cNvPicPr/>
                  </pic:nvPicPr>
                  <pic:blipFill>
                    <a:blip r:embed="rId14"/>
                    <a:stretch>
                      <a:fillRect/>
                    </a:stretch>
                  </pic:blipFill>
                  <pic:spPr>
                    <a:xfrm>
                      <a:off x="0" y="0"/>
                      <a:ext cx="5394960" cy="3034665"/>
                    </a:xfrm>
                    <a:prstGeom prst="rect"/>
                  </pic:spPr>
                </pic:pic>
              </a:graphicData>
            </a:graphic>
          </wp:inline>
        </w:drawing>
      </w:r>
    </w:p>
    <w:p>
      <w:pPr>
        <w:spacing w:line="240" w:lineRule="auto" w:after="200"/>
        <w:jc w:val="center"/>
      </w:pPr>
      <w:r>
        <w:rPr>
          <w:rFonts w:ascii="Times New Roman" w:hAnsi="Times New Roman"/>
          <w:i/>
          <w:sz w:val="22"/>
        </w:rPr>
        <w:t>Fig. 5 — The rubric is shown before the upload box</w:t>
      </w:r>
    </w:p>
    <w:p>
      <w:r>
        <w:br w:type="page"/>
      </w:r>
    </w:p>
    <w:p>
      <w:pPr>
        <w:pStyle w:val="Heading1"/>
        <w:keepNext/>
        <w:pageBreakBefore w:val="0"/>
        <w:spacing w:before="280" w:after="120" w:line="360" w:lineRule="auto"/>
        <w:jc w:val="left"/>
      </w:pPr>
      <w:r>
        <w:rPr>
          <w:rFonts w:ascii="Times New Roman" w:hAnsi="Times New Roman"/>
          <w:b/>
          <w:sz w:val="28"/>
        </w:rPr>
        <w:t>6. One row per student, one column per criterion</w:t>
      </w:r>
    </w:p>
    <w:p>
      <w:pPr>
        <w:spacing w:line="360" w:lineRule="auto"/>
        <w:jc w:val="both"/>
      </w:pPr>
      <w:r>
        <w:rPr>
          <w:rFonts w:ascii="Times New Roman" w:hAnsi="Times New Roman"/>
          <w:sz w:val="24"/>
        </w:rPr>
        <w:t>Stage 5 — Review grid</w:t>
      </w:r>
    </w:p>
    <w:p>
      <w:pPr>
        <w:spacing w:line="360" w:lineRule="auto"/>
        <w:jc w:val="both"/>
      </w:pPr>
      <w:r>
        <w:rPr>
          <w:rFonts w:ascii="Times New Roman" w:hAnsi="Times New Roman"/>
          <w:sz w:val="24"/>
        </w:rPr>
        <w:t>The centrepiece. Sixty-seven rows, eighteen flagged as needing a decision, forty-nine already approved. The status column distinguishes an estimate awaiting approval from an absence and from a student who never submitted — a non-submitter keeps a row rather than disappearing from the list.</w:t>
      </w:r>
    </w:p>
    <w:p>
      <w:pPr>
        <w:keepNext/>
        <w:spacing w:before="80" w:after="80"/>
        <w:jc w:val="center"/>
      </w:pPr>
      <w:r>
        <w:drawing>
          <wp:inline xmlns:a="http://schemas.openxmlformats.org/drawingml/2006/main" xmlns:pic="http://schemas.openxmlformats.org/drawingml/2006/picture">
            <wp:extent cx="5394960" cy="3034665"/>
            <wp:docPr id="6" name="Picture 6"/>
            <wp:cNvGraphicFramePr>
              <a:graphicFrameLocks noChangeAspect="1"/>
            </wp:cNvGraphicFramePr>
            <a:graphic>
              <a:graphicData uri="http://schemas.openxmlformats.org/drawingml/2006/picture">
                <pic:pic>
                  <pic:nvPicPr>
                    <pic:cNvPr id="0" name="06-review-grid.jpg"/>
                    <pic:cNvPicPr/>
                  </pic:nvPicPr>
                  <pic:blipFill>
                    <a:blip r:embed="rId15"/>
                    <a:stretch>
                      <a:fillRect/>
                    </a:stretch>
                  </pic:blipFill>
                  <pic:spPr>
                    <a:xfrm>
                      <a:off x="0" y="0"/>
                      <a:ext cx="5394960" cy="3034665"/>
                    </a:xfrm>
                    <a:prstGeom prst="rect"/>
                  </pic:spPr>
                </pic:pic>
              </a:graphicData>
            </a:graphic>
          </wp:inline>
        </w:drawing>
      </w:r>
    </w:p>
    <w:p>
      <w:pPr>
        <w:spacing w:line="240" w:lineRule="auto" w:after="200"/>
        <w:jc w:val="center"/>
      </w:pPr>
      <w:r>
        <w:rPr>
          <w:rFonts w:ascii="Times New Roman" w:hAnsi="Times New Roman"/>
          <w:i/>
          <w:sz w:val="22"/>
        </w:rPr>
        <w:t>Fig. 6 — One row per student, one column per criterion</w:t>
      </w:r>
    </w:p>
    <w:p>
      <w:r>
        <w:br w:type="page"/>
      </w:r>
    </w:p>
    <w:p>
      <w:pPr>
        <w:pStyle w:val="Heading1"/>
        <w:keepNext/>
        <w:pageBreakBefore w:val="0"/>
        <w:spacing w:before="280" w:after="120" w:line="360" w:lineRule="auto"/>
        <w:jc w:val="left"/>
      </w:pPr>
      <w:r>
        <w:rPr>
          <w:rFonts w:ascii="Times New Roman" w:hAnsi="Times New Roman"/>
          <w:b/>
          <w:sz w:val="28"/>
        </w:rPr>
        <w:t>7. The cohort, and the department's grading scale</w:t>
      </w:r>
    </w:p>
    <w:p>
      <w:pPr>
        <w:spacing w:line="360" w:lineRule="auto"/>
        <w:jc w:val="both"/>
      </w:pPr>
      <w:r>
        <w:rPr>
          <w:rFonts w:ascii="Times New Roman" w:hAnsi="Times New Roman"/>
          <w:sz w:val="24"/>
        </w:rPr>
        <w:t>Stage 7 — Reports</w:t>
      </w:r>
    </w:p>
    <w:p>
      <w:pPr>
        <w:spacing w:line="360" w:lineRule="auto"/>
        <w:jc w:val="both"/>
      </w:pPr>
      <w:r>
        <w:rPr>
          <w:rFonts w:ascii="Times New Roman" w:hAnsi="Times New Roman"/>
          <w:sz w:val="24"/>
        </w:rPr>
        <w:t>The distribution of marks out of twenty-five, with absent students excluded because an absence is a status and not a mark of zero. Below it the department's published bands — Excellent, Good, Satisfactory, Needs Improvement, Poor — applied to this review's marks.</w:t>
      </w:r>
    </w:p>
    <w:p>
      <w:pPr>
        <w:keepNext/>
        <w:spacing w:before="80" w:after="80"/>
        <w:jc w:val="center"/>
      </w:pPr>
      <w:r>
        <w:drawing>
          <wp:inline xmlns:a="http://schemas.openxmlformats.org/drawingml/2006/main" xmlns:pic="http://schemas.openxmlformats.org/drawingml/2006/picture">
            <wp:extent cx="5394960" cy="3034665"/>
            <wp:docPr id="7" name="Picture 7"/>
            <wp:cNvGraphicFramePr>
              <a:graphicFrameLocks noChangeAspect="1"/>
            </wp:cNvGraphicFramePr>
            <a:graphic>
              <a:graphicData uri="http://schemas.openxmlformats.org/drawingml/2006/picture">
                <pic:pic>
                  <pic:nvPicPr>
                    <pic:cNvPr id="0" name="07-reports.jpg"/>
                    <pic:cNvPicPr/>
                  </pic:nvPicPr>
                  <pic:blipFill>
                    <a:blip r:embed="rId16"/>
                    <a:stretch>
                      <a:fillRect/>
                    </a:stretch>
                  </pic:blipFill>
                  <pic:spPr>
                    <a:xfrm>
                      <a:off x="0" y="0"/>
                      <a:ext cx="5394960" cy="3034665"/>
                    </a:xfrm>
                    <a:prstGeom prst="rect"/>
                  </pic:spPr>
                </pic:pic>
              </a:graphicData>
            </a:graphic>
          </wp:inline>
        </w:drawing>
      </w:r>
    </w:p>
    <w:p>
      <w:pPr>
        <w:spacing w:line="240" w:lineRule="auto" w:after="200"/>
        <w:jc w:val="center"/>
      </w:pPr>
      <w:r>
        <w:rPr>
          <w:rFonts w:ascii="Times New Roman" w:hAnsi="Times New Roman"/>
          <w:i/>
          <w:sz w:val="22"/>
        </w:rPr>
        <w:t>Fig. 7 — The cohort, and the department's grading scale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8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8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