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6C5CE7"/>
          <w:sz w:val="44"/>
        </w:rPr>
        <w:t>Evidence-Adaptive Retrieval for OCR-Resilient</w:t>
        <w:br/>
        <w:t>Document Question Answering</w:t>
      </w:r>
    </w:p>
    <w:p>
      <w:pPr>
        <w:jc w:val="center"/>
      </w:pPr>
      <w:r>
        <w:rPr>
          <w:i/>
          <w:color w:val="6B7280"/>
          <w:sz w:val="26"/>
        </w:rPr>
        <w:t>A GPU-Optimised, Hallucination-Resistant, OCR-Resilient Extension of QuIM-RAG</w:t>
      </w:r>
    </w:p>
    <w:p/>
    <w:p>
      <w:pPr>
        <w:jc w:val="center"/>
      </w:pPr>
      <w:r>
        <w:rPr>
          <w:b/>
          <w:sz w:val="26"/>
        </w:rPr>
        <w:t>Manthira Moorthy P · Vijay S K</w:t>
      </w:r>
    </w:p>
    <w:p>
      <w:pPr>
        <w:jc w:val="center"/>
      </w:pPr>
      <w:r>
        <w:rPr>
          <w:color w:val="6B7280"/>
          <w:sz w:val="22"/>
        </w:rPr>
        <w:t>IV ECE-A</w:t>
        <w:br/>
        <w:t>Mentor: Dr. V. Karthikeyan, AP(Sl.G.)</w:t>
      </w:r>
    </w:p>
    <w:p/>
    <w:p>
      <w:pPr>
        <w:jc w:val="center"/>
      </w:pPr>
      <w:r>
        <w:rPr>
          <w:i/>
          <w:color w:val="6B7280"/>
          <w:sz w:val="19"/>
        </w:rPr>
        <w:t>Unpublished student project manuscript. Not peer-reviewed, not submitted for publication.</w:t>
        <w:br/>
        <w:t>Every number in this document is either quoted from a cited published source, or produced by this project's own code and logged to research/experiments/ — reproducible by the commands cited throughout. No value in this document was invented.</w:t>
      </w:r>
    </w:p>
    <w:p>
      <w:r>
        <w:br w:type="page"/>
      </w:r>
    </w:p>
    <w:p>
      <w:pPr>
        <w:pStyle w:val="Heading1"/>
      </w:pPr>
      <w:r>
        <w:t>Abstract</w:t>
      </w:r>
    </w:p>
    <w:p>
      <w:r>
        <w:t>Retrieval-augmented QA systems, including the QuIM-RAG baseline this project extends (Saha, Saha &amp; Malik, IEEE Access, 2024), retrieve top-k passages and generate an answer unconditionally regardless of retrieval confidence. We extend an existing OCR-aware hybrid-retrieval prototype with real BM25 lexical scoring, real per-chunk OCR confidence captured from Tesseract, a residual vector quantizer (RVQ), and Evidence-Adaptive Retrieval &amp; Verification (EAR): a logistic combination of four zero-extra-inference signals — dense/BM25 retrieval agreement, OCR confidence, cross-passage numeric contradiction, and query complexity — calibrated on held-out data to decide whether to answer, retrieve more, inspect structure, or abstain. On two independent datasets, restricting answers to EAR's confident decisions improves top-1 retrieval accuracy by +7.1 points (71.2% → 78.3%, 95% CI [+2.5, +12.0]) and +11.7 points (84.3% → 96.0%) respectively. With real local-LLM-generated answers (Llama 3.2, via Ollama, no API key) and a from-the-definitions implementation of the RAGAS metric family, EAR-gated generation improves measured Faithfulness by +10.5 points (0.514 → 0.619). Four dedicated studies close the project's remaining open questions: OCR confidence is empirically well-calibrated against real character-error-rate (Pearson r = −0.98, p = 1.4×10⁻³⁰); the RVQ recall gap is root-caused to quantization reconstruction error (Welch's t = −4.71, p = 3.5×10⁻⁶) and 79% recovered by a quantize-then-exact-rerank fix at no added latency; end-to-end generation evaluation reveals Exact Match as a misleading metric for this task, confirmed by manual review; and a substitute-data reproduction of QuIM-RAG's own mechanism (the original NDSU corpus is private) does not replicate the original paper's headline result, with a specific, stated hypothesis for why. EAR's entire decision overhead measures ≈95 ms versus 10.6–15.1 s for an equivalent LLM-judge verification step — a ≈110–160× speedup for a comparable trust decision.</w:t>
      </w:r>
    </w:p>
    <w:p>
      <w:r>
        <w:br w:type="page"/>
      </w:r>
    </w:p>
    <w:p>
      <w:pPr>
        <w:pStyle w:val="Heading1"/>
      </w:pPr>
      <w:r>
        <w:t>Contents</w:t>
      </w:r>
    </w:p>
    <w:p>
      <w:pPr>
        <w:spacing w:after="40"/>
      </w:pPr>
      <w:r>
        <w:t>1. Introduction and Motivation</w:t>
      </w:r>
    </w:p>
    <w:p>
      <w:pPr>
        <w:spacing w:after="40"/>
      </w:pPr>
      <w:r>
        <w:t>2. Related Work</w:t>
      </w:r>
    </w:p>
    <w:p>
      <w:pPr>
        <w:spacing w:after="40"/>
      </w:pPr>
      <w:r>
        <w:t>3. Research Gap</w:t>
      </w:r>
    </w:p>
    <w:p>
      <w:pPr>
        <w:spacing w:after="40"/>
      </w:pPr>
      <w:r>
        <w:t>4. Problem Formulation</w:t>
      </w:r>
    </w:p>
    <w:p>
      <w:pPr>
        <w:spacing w:after="40"/>
      </w:pPr>
      <w:r>
        <w:t>5. Proposed Method: Evidence-Adaptive Retrieval &amp; Verification</w:t>
      </w:r>
    </w:p>
    <w:p>
      <w:pPr>
        <w:spacing w:after="40"/>
      </w:pPr>
      <w:r>
        <w:t>6. System Architecture</w:t>
      </w:r>
    </w:p>
    <w:p>
      <w:pPr>
        <w:spacing w:after="40"/>
      </w:pPr>
      <w:r>
        <w:t>7. Standard Algorithms: Formal Definitions</w:t>
      </w:r>
    </w:p>
    <w:p>
      <w:pPr>
        <w:spacing w:after="40"/>
      </w:pPr>
      <w:r>
        <w:t>8. Experimental Setup</w:t>
      </w:r>
    </w:p>
    <w:p>
      <w:pPr>
        <w:spacing w:after="40"/>
      </w:pPr>
      <w:r>
        <w:t>9. Datasets</w:t>
      </w:r>
    </w:p>
    <w:p>
      <w:pPr>
        <w:spacing w:after="40"/>
      </w:pPr>
      <w:r>
        <w:t>10. Evaluation Metrics</w:t>
      </w:r>
    </w:p>
    <w:p>
      <w:pPr>
        <w:spacing w:after="40"/>
      </w:pPr>
      <w:r>
        <w:t>11. Results: Main Benchmark</w:t>
      </w:r>
    </w:p>
    <w:p>
      <w:pPr>
        <w:spacing w:after="40"/>
      </w:pPr>
      <w:r>
        <w:t>12. Ablation Studies</w:t>
      </w:r>
    </w:p>
    <w:p>
      <w:pPr>
        <w:spacing w:after="40"/>
      </w:pPr>
      <w:r>
        <w:t>13. Study: OCR Robustness and EAR Validation</w:t>
      </w:r>
    </w:p>
    <w:p>
      <w:pPr>
        <w:spacing w:after="40"/>
      </w:pPr>
      <w:r>
        <w:t>14. Study: End-to-End Generation Quality</w:t>
      </w:r>
    </w:p>
    <w:p>
      <w:pPr>
        <w:spacing w:after="40"/>
      </w:pPr>
      <w:r>
        <w:t>15. Study: RVQ Recall Gap Analysis</w:t>
      </w:r>
    </w:p>
    <w:p>
      <w:pPr>
        <w:spacing w:after="40"/>
      </w:pPr>
      <w:r>
        <w:t>16. Study: NDSU Substitute-Data Reproduction</w:t>
      </w:r>
    </w:p>
    <w:p>
      <w:pPr>
        <w:spacing w:after="40"/>
      </w:pPr>
      <w:r>
        <w:t>17. Error Analysis</w:t>
      </w:r>
    </w:p>
    <w:p>
      <w:pPr>
        <w:spacing w:after="40"/>
      </w:pPr>
      <w:r>
        <w:t>18. Computational Cost Analysis</w:t>
      </w:r>
    </w:p>
    <w:p>
      <w:pPr>
        <w:spacing w:after="40"/>
      </w:pPr>
      <w:r>
        <w:t>19. Limitations</w:t>
      </w:r>
    </w:p>
    <w:p>
      <w:pPr>
        <w:spacing w:after="40"/>
      </w:pPr>
      <w:r>
        <w:t>20. Threats to Validity</w:t>
      </w:r>
    </w:p>
    <w:p>
      <w:pPr>
        <w:spacing w:after="40"/>
      </w:pPr>
      <w:r>
        <w:t>21. Reproducibility Statement</w:t>
      </w:r>
    </w:p>
    <w:p>
      <w:pPr>
        <w:spacing w:after="40"/>
      </w:pPr>
      <w:r>
        <w:t>22. Conclusion and Future Work</w:t>
      </w:r>
    </w:p>
    <w:p>
      <w:pPr>
        <w:spacing w:after="40"/>
      </w:pPr>
      <w:r>
        <w:t>References</w:t>
      </w:r>
    </w:p>
    <w:p>
      <w:r>
        <w:br w:type="page"/>
      </w:r>
    </w:p>
    <w:p>
      <w:pPr>
        <w:pStyle w:val="Heading1"/>
      </w:pPr>
      <w:r>
        <w:t>1. Introduction and Motivation</w:t>
      </w:r>
    </w:p>
    <w:p>
      <w:r>
        <w:t>Retrieval-Augmented Generation (RAG) systems answer questions by retrieving relevant passages from a document corpus and conditioning a language model's output on them, rather than relying solely on the model's parametric memory. This improves factual grounding in principle, but in practice every RAG pipeline we examined — including the baseline this project extends — retrieves some passages and then unconditionally generates an answer, regardless of whether the retrieval was actually correct, whether OCR extraction was degraded, or whether the retrieved passages contradict each other.</w:t>
      </w:r>
    </w:p>
    <w:p>
      <w:r>
        <w:t>Real-world document QA over scanned, OCR'd, and structurally complex documents is exactly where this failure mode is most likely: Optical Character Recognition (OCR) errors, broken tables, and fixed-size chunking all degrade the quality of retrieved evidence without any visible signal to the end user that something has gone wrong. The system still answers confidently. This project's central hypothesis is that a small set of signals, computable from retrieval that has already happened, can predict whether retrieved evidence is trustworthy well enough to justify withholding or qualifying an answer when it is not — without the latency and cost of an additional LLM call to make that judgment.</w:t>
      </w:r>
    </w:p>
    <w:p>
      <w:pPr>
        <w:pStyle w:val="Heading1"/>
      </w:pPr>
      <w:r>
        <w:t>2. Related Work</w:t>
      </w:r>
    </w:p>
    <w:p>
      <w:r>
        <w:t>The direct baseline is QuIM-RAG (Saha, Saha &amp; Malik, 2024), which improves retrieval by matching queries against LLM-generated candidate questions attached to each chunk — an inverted question index — rather than matching queries directly against chunk embeddings. Evaluated on a private NDSU university catalog and career-advising corpus, QuIM-RAG reports large improvements over a direct chunk-cosine “Traditional RAG” baseline (Table 1). Neither the original paper nor its baseline includes any mechanism for withholding an answer when evidence is insufficient, any lexical (BM25) retrieval path, or any treatment of OCR noise.</w:t>
      </w:r>
    </w:p>
    <w:p>
      <w:r>
        <w:t>A broader 2026 literature independently establishes confidence-gated abstention in RAG as an active research area: SURE-RAG uses a fine-tuned verification model to gate answering; an evidence-sufficiency benchmark studies answer-abstention calibration directly; AB-RAG adapts retrieval budget based on confidence; ConRAG and EvidentialRAG use NLI-style classification to detect contradictory evidence; and recent work on multi-embedder “retrieval disagreement” treats dense/sparse agreement as a ranking-correction signal. This project's contribution, EAR, is situated within this area rather than outside it — see Section 5 for a precise statement of what differs.</w:t>
      </w:r>
    </w:p>
    <w:p>
      <w:pPr>
        <w:pStyle w:val="Heading1"/>
      </w:pPr>
      <w:r>
        <w:t>3. Research Gap</w:t>
      </w:r>
    </w:p>
    <w:p>
      <w:r>
        <w:t>An audit of this project's own prior implementation identified two unimplemented items against its own roadmap — a real BM25 lexical retriever (the prior version used uncalibrated substring term overlap) and Residual Vector Quantization — both closed in this work (Sections 7.1, 7.5). Separately, neither the baseline paper nor the prior implementation included any decision layer for withholding an answer when retrieval confidence is low; this is the gap EAR addresses. Four further open questions — OCR-confidence validation on genuinely noisy data, end-to-end generation-quality evaluation, the RVQ recall gap's root cause, and the feasibility of reproducing QuIM-RAG's own result on substitute data — are closed with dedicated controlled studies in Sections 13–16.</w:t>
      </w:r>
    </w:p>
    <w:p>
      <w:pPr>
        <w:pStyle w:val="Heading1"/>
      </w:pPr>
      <w:r>
        <w:t>4. Problem Formulation</w:t>
      </w:r>
    </w:p>
    <w:p>
      <w:r>
        <w:t>Given a query q and a corpus indexed for hybrid (dense + BM25) retrieval, standard RAG always generates an answer from the top-k retrieved evidence set E_k(q). This project asks whether a decision function</w:t>
      </w:r>
    </w:p>
    <w:p>
      <w:pPr>
        <w:tabs>
          <w:tab w:pos="9072" w:val="left"/>
        </w:tabs>
        <w:spacing w:before="120" w:after="120"/>
        <w:jc w:val="center"/>
      </w:pPr>
      <w:r>
        <w:rPr>
          <w:rFonts w:ascii="Cambria Math" w:hAnsi="Cambria Math"/>
          <w:i/>
          <w:sz w:val="24"/>
        </w:rPr>
        <w:t>f(q, E_k(q)) → {answer, expand, inspect, abstain}</w:t>
      </w:r>
      <w:r>
        <w:tab/>
      </w:r>
      <w:r>
        <w:rPr>
          <w:color w:val="6B7280"/>
          <w:sz w:val="20"/>
        </w:rPr>
        <w:t>(1)</w:t>
      </w:r>
    </w:p>
    <w:p>
      <w:r>
        <w:t>computed from signals already available at retrieval time — with no additional embedding or language-model inference — can improve the expected correctness of answered queries over the unfiltered baseline, measured as a selective-prediction (risk–coverage) problem rather than as a retrieval-ranking metric.</w:t>
      </w:r>
    </w:p>
    <w:p>
      <w:pPr>
        <w:pStyle w:val="Heading1"/>
      </w:pPr>
      <w:r>
        <w:t>5. Proposed Method: Evidence-Adaptive Retrieval &amp; Verification (EAR)</w:t>
      </w:r>
    </w:p>
    <w:p>
      <w:r>
        <w:t>EAR is a decision layer evaluated after Hybrid retrieval has already produced a candidate evidence set, not a replacement ranking function. It computes four signals, each normalized to [0,1], then combines them via a calibrated logistic model into a sufficiency score and a four-way decision.</w:t>
      </w:r>
    </w:p>
    <w:p>
      <w:pPr>
        <w:pStyle w:val="Heading2"/>
      </w:pPr>
      <w:r>
        <w:t>5.1 Signal 1 — Retrieval Agreement</w:t>
      </w:r>
    </w:p>
    <w:p>
      <w:r>
        <w:t>Let D_K and L_K be the top-K chunk-id sets returned by Dense-only and BM25-only retrieval respectively, for the same query. Both rankings are already computed internally for Hybrid RRF, so this signal costs only two additional retrieve() calls, no new embeddings.</w:t>
      </w:r>
    </w:p>
    <w:p>
      <w:pPr>
        <w:tabs>
          <w:tab w:pos="9072" w:val="left"/>
        </w:tabs>
        <w:spacing w:before="120" w:after="120"/>
        <w:jc w:val="center"/>
      </w:pPr>
      <w:r>
        <w:rPr>
          <w:rFonts w:ascii="Cambria Math" w:hAnsi="Cambria Math"/>
          <w:i/>
          <w:sz w:val="24"/>
        </w:rPr>
        <w:t>a = |D_K ∩ L_K| / |D_K ∪ L_K|</w:t>
      </w:r>
      <w:r>
        <w:tab/>
      </w:r>
      <w:r>
        <w:rPr>
          <w:color w:val="6B7280"/>
          <w:sz w:val="20"/>
        </w:rPr>
        <w:t>(2)</w:t>
      </w:r>
    </w:p>
    <w:p>
      <w:r>
        <w:t>Intuition: when two structurally different retrievers agree, the result is more likely correct.</w:t>
      </w:r>
    </w:p>
    <w:p>
      <w:pPr>
        <w:pStyle w:val="Heading2"/>
      </w:pPr>
      <w:r>
        <w:t>5.2 Signal 2 — OCR Confidence</w:t>
      </w:r>
    </w:p>
    <w:p>
      <w:r>
        <w:t>For each evidence chunk c, let conf(c) be the real Tesseract mean per-word confidence captured during ingestion (quimrag/core.py::_ocr_page, via pytesseract.image_to_data) for OCR'd chunks, or 1 for natively-extracted chunks. For evidence set E_K:</w:t>
      </w:r>
    </w:p>
    <w:p>
      <w:pPr>
        <w:tabs>
          <w:tab w:pos="9072" w:val="left"/>
        </w:tabs>
        <w:spacing w:before="120" w:after="120"/>
        <w:jc w:val="center"/>
      </w:pPr>
      <w:r>
        <w:rPr>
          <w:rFonts w:ascii="Cambria Math" w:hAnsi="Cambria Math"/>
          <w:i/>
          <w:sz w:val="24"/>
        </w:rPr>
        <w:t>o = (1/K) · Σ_{c ∈ E_K} conf(c)</w:t>
      </w:r>
      <w:r>
        <w:tab/>
      </w:r>
      <w:r>
        <w:rPr>
          <w:color w:val="6B7280"/>
          <w:sz w:val="20"/>
        </w:rPr>
        <w:t>(3)</w:t>
      </w:r>
    </w:p>
    <w:p>
      <w:pPr>
        <w:pStyle w:val="Heading2"/>
      </w:pPr>
      <w:r>
        <w:t>5.3 Signal 3 — Cross-Passage Contradiction</w:t>
      </w:r>
    </w:p>
    <w:p>
      <w:r>
        <w:t>A pair of evidence chunks (i, j) is flagged as conflicting if their lexical token-Jaccard overlap exceeds 0.3 (same topic) but their extracted number sets are disjoint (disagreeing figures) — a zero-inference-call heuristic, no language-model call required:</w:t>
      </w:r>
    </w:p>
    <w:p>
      <w:pPr>
        <w:tabs>
          <w:tab w:pos="9072" w:val="left"/>
        </w:tabs>
        <w:spacing w:before="120" w:after="120"/>
        <w:jc w:val="center"/>
      </w:pPr>
      <w:r>
        <w:rPr>
          <w:rFonts w:ascii="Cambria Math" w:hAnsi="Cambria Math"/>
          <w:i/>
          <w:sz w:val="24"/>
        </w:rPr>
        <w:t>x = |{(i,j) : overlap(i,j) &gt; 0.3 ∧ nums(i) ∩ nums(j) = ∅}| / C(K,2)</w:t>
      </w:r>
      <w:r>
        <w:tab/>
      </w:r>
      <w:r>
        <w:rPr>
          <w:color w:val="6B7280"/>
          <w:sz w:val="20"/>
        </w:rPr>
        <w:t>(4)</w:t>
      </w:r>
    </w:p>
    <w:p>
      <w:pPr>
        <w:pStyle w:val="Heading2"/>
      </w:pPr>
      <w:r>
        <w:t>5.4 Signal 4 — Query Complexity</w:t>
      </w:r>
    </w:p>
    <w:p>
      <w:r>
        <w:t>A cheap multi-hop-query proxy from token count, wh-word count, and conjunction count, each capped and averaged into [0,1]:</w:t>
      </w:r>
    </w:p>
    <w:p>
      <w:pPr>
        <w:tabs>
          <w:tab w:pos="9072" w:val="left"/>
        </w:tabs>
        <w:spacing w:before="120" w:after="120"/>
        <w:jc w:val="center"/>
      </w:pPr>
      <w:r>
        <w:rPr>
          <w:rFonts w:ascii="Cambria Math" w:hAnsi="Cambria Math"/>
          <w:i/>
          <w:sz w:val="24"/>
        </w:rPr>
        <w:t>q = mean( min(tokens,30)/30, min(wh,3)/3, min(conj,3)/3 )</w:t>
      </w:r>
      <w:r>
        <w:tab/>
      </w:r>
      <w:r>
        <w:rPr>
          <w:color w:val="6B7280"/>
          <w:sz w:val="20"/>
        </w:rPr>
        <w:t>(5)</w:t>
      </w:r>
    </w:p>
    <w:p>
      <w:pPr>
        <w:pStyle w:val="Heading2"/>
      </w:pPr>
      <w:r>
        <w:t>5.5 Sufficiency Score and Decision</w:t>
      </w:r>
    </w:p>
    <w:p>
      <w:r>
        <w:t>The four signals are combined by logistic regression, fit on a calibration split that is always disjoint from the evaluation split used for headline results:</w:t>
      </w:r>
    </w:p>
    <w:p>
      <w:pPr>
        <w:tabs>
          <w:tab w:pos="9072" w:val="left"/>
        </w:tabs>
        <w:spacing w:before="120" w:after="120"/>
        <w:jc w:val="center"/>
      </w:pPr>
      <w:r>
        <w:rPr>
          <w:rFonts w:ascii="Cambria Math" w:hAnsi="Cambria Math"/>
          <w:i/>
          <w:sz w:val="24"/>
        </w:rPr>
        <w:t>z = w₀ + w₁a + w₂o + w₃x + w₄q</w:t>
      </w:r>
      <w:r>
        <w:tab/>
      </w:r>
      <w:r>
        <w:rPr>
          <w:color w:val="6B7280"/>
          <w:sz w:val="20"/>
        </w:rPr>
        <w:t>(6)</w:t>
      </w:r>
    </w:p>
    <w:p>
      <w:pPr>
        <w:tabs>
          <w:tab w:pos="9072" w:val="left"/>
        </w:tabs>
        <w:spacing w:before="120" w:after="120"/>
        <w:jc w:val="center"/>
      </w:pPr>
      <w:r>
        <w:rPr>
          <w:rFonts w:ascii="Cambria Math" w:hAnsi="Cambria Math"/>
          <w:i/>
          <w:sz w:val="24"/>
        </w:rPr>
        <w:t>p = σ(z) = 1 / (1 + e^(−z))</w:t>
      </w:r>
      <w:r>
        <w:tab/>
      </w:r>
      <w:r>
        <w:rPr>
          <w:color w:val="6B7280"/>
          <w:sz w:val="20"/>
        </w:rPr>
        <w:t>(7)</w:t>
      </w:r>
    </w:p>
    <w:p>
      <w:r>
        <w:t>Decision thresholds θ_abstain and θ_answer are also fit on the calibration split: θ_answer is the lowest calibration probability at which precision ≥ 0.80 for predicting top-1 retrieval correctness (falling back to the best-F1 threshold if 0.80 precision is unreachable); θ_abstain is the 20th percentile of calibration probabilities. The decision policy is:</w:t>
      </w:r>
    </w:p>
    <w:p>
      <w:pPr>
        <w:ind w:left="576"/>
      </w:pPr>
      <w:r>
        <w:rPr>
          <w:rFonts w:ascii="Consolas" w:hAnsi="Consolas"/>
          <w:sz w:val="19"/>
        </w:rPr>
        <w:t>if p &lt; θ_abstain:              decide "abstain"</w:t>
        <w:br/>
        <w:t>elif p &lt; θ_answer:</w:t>
        <w:br/>
        <w:t xml:space="preserve">    weakest ← argmax_f badness(f, signal[f])</w:t>
        <w:br/>
        <w:t xml:space="preserve">    decide "inspect_structure" if weakest = contradiction else "expand_retrieval"</w:t>
        <w:br/>
        <w:t>else:                          decide "answer"</w:t>
      </w:r>
    </w:p>
    <w:p>
      <w:r>
        <w:t>where badness(f, v) = 1 − v for f ∈ {agreement, ocr_confidence} (low is bad) and badness(f, v) = v for f ∈ {contradiction, complexity} (high is bad), so the routed sub-decision targets whichever signal is driving the sufficiency score down.</w:t>
      </w:r>
    </w:p>
    <w:p>
      <w:pPr>
        <w:pStyle w:val="Heading2"/>
      </w:pPr>
      <w:r>
        <w:t>5.6 Calibrated weights (OHR-Bench main benchmark, 168-query calibration split)</w:t>
      </w:r>
    </w:p>
    <w:p>
      <w:r>
        <w:rPr>
          <w:b/>
          <w:sz w:val="19"/>
        </w:rPr>
        <w:t xml:space="preserve">Table 1. </w:t>
      </w:r>
      <w:r>
        <w:rPr>
          <w:i/>
          <w:color w:val="6B7280"/>
          <w:sz w:val="19"/>
        </w:rPr>
        <w:t>Logistic regression coefficients fit on the calibration split; intercept w₀ = 0.023.</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Signal</w:t>
            </w:r>
          </w:p>
        </w:tc>
        <w:tc>
          <w:tcPr>
            <w:tcW w:type="dxa" w:w="3024"/>
            <w:shd w:val="clear" w:fill="6C5CE7"/>
          </w:tcPr>
          <w:p>
            <w:r/>
            <w:r>
              <w:rPr>
                <w:b/>
                <w:color w:val="FFFFFF"/>
                <w:sz w:val="19"/>
              </w:rPr>
              <w:t>Weight (wᵢ)</w:t>
            </w:r>
          </w:p>
        </w:tc>
        <w:tc>
          <w:tcPr>
            <w:tcW w:type="dxa" w:w="3024"/>
            <w:shd w:val="clear" w:fill="6C5CE7"/>
          </w:tcPr>
          <w:p>
            <w:r/>
            <w:r>
              <w:rPr>
                <w:b/>
                <w:color w:val="FFFFFF"/>
                <w:sz w:val="19"/>
              </w:rPr>
              <w:t>Sign matches hypothesis?</w:t>
            </w:r>
          </w:p>
        </w:tc>
      </w:tr>
      <w:tr>
        <w:tc>
          <w:tcPr>
            <w:tcW w:type="dxa" w:w="3024"/>
          </w:tcPr>
          <w:p>
            <w:r/>
            <w:r>
              <w:rPr>
                <w:sz w:val="19"/>
              </w:rPr>
              <w:t>Agreement (a)</w:t>
            </w:r>
          </w:p>
        </w:tc>
        <w:tc>
          <w:tcPr>
            <w:tcW w:type="dxa" w:w="3024"/>
          </w:tcPr>
          <w:p>
            <w:r/>
            <w:r>
              <w:rPr>
                <w:sz w:val="19"/>
              </w:rPr>
              <w:t>+1.664</w:t>
            </w:r>
          </w:p>
        </w:tc>
        <w:tc>
          <w:tcPr>
            <w:tcW w:type="dxa" w:w="3024"/>
          </w:tcPr>
          <w:p>
            <w:r/>
            <w:r>
              <w:rPr>
                <w:sz w:val="19"/>
              </w:rPr>
              <w:t>Yes</w:t>
            </w:r>
          </w:p>
        </w:tc>
      </w:tr>
      <w:tr>
        <w:tc>
          <w:tcPr>
            <w:tcW w:type="dxa" w:w="3024"/>
          </w:tcPr>
          <w:p>
            <w:r/>
            <w:r>
              <w:rPr>
                <w:sz w:val="19"/>
              </w:rPr>
              <w:t>OCR confidence (o)</w:t>
            </w:r>
          </w:p>
        </w:tc>
        <w:tc>
          <w:tcPr>
            <w:tcW w:type="dxa" w:w="3024"/>
          </w:tcPr>
          <w:p>
            <w:r/>
            <w:r>
              <w:rPr>
                <w:sz w:val="19"/>
              </w:rPr>
              <w:t>−0.003 (≈0)</w:t>
            </w:r>
          </w:p>
        </w:tc>
        <w:tc>
          <w:tcPr>
            <w:tcW w:type="dxa" w:w="3024"/>
          </w:tcPr>
          <w:p>
            <w:r/>
            <w:r>
              <w:rPr>
                <w:sz w:val="19"/>
              </w:rPr>
              <w:t>Uninformative — zero variance in this clean-text split (Section 13)</w:t>
            </w:r>
          </w:p>
        </w:tc>
      </w:tr>
      <w:tr>
        <w:tc>
          <w:tcPr>
            <w:tcW w:type="dxa" w:w="3024"/>
          </w:tcPr>
          <w:p>
            <w:r/>
            <w:r>
              <w:rPr>
                <w:sz w:val="19"/>
              </w:rPr>
              <w:t>Contradiction (x)</w:t>
            </w:r>
          </w:p>
        </w:tc>
        <w:tc>
          <w:tcPr>
            <w:tcW w:type="dxa" w:w="3024"/>
          </w:tcPr>
          <w:p>
            <w:r/>
            <w:r>
              <w:rPr>
                <w:sz w:val="19"/>
              </w:rPr>
              <w:t>−0.579</w:t>
            </w:r>
          </w:p>
        </w:tc>
        <w:tc>
          <w:tcPr>
            <w:tcW w:type="dxa" w:w="3024"/>
          </w:tcPr>
          <w:p>
            <w:r/>
            <w:r>
              <w:rPr>
                <w:sz w:val="19"/>
              </w:rPr>
              <w:t>Yes</w:t>
            </w:r>
          </w:p>
        </w:tc>
      </w:tr>
      <w:tr>
        <w:tc>
          <w:tcPr>
            <w:tcW w:type="dxa" w:w="3024"/>
          </w:tcPr>
          <w:p>
            <w:r/>
            <w:r>
              <w:rPr>
                <w:sz w:val="19"/>
              </w:rPr>
              <w:t>Complexity (q)</w:t>
            </w:r>
          </w:p>
        </w:tc>
        <w:tc>
          <w:tcPr>
            <w:tcW w:type="dxa" w:w="3024"/>
          </w:tcPr>
          <w:p>
            <w:r/>
            <w:r>
              <w:rPr>
                <w:sz w:val="19"/>
              </w:rPr>
              <w:t>+1.030</w:t>
            </w:r>
          </w:p>
        </w:tc>
        <w:tc>
          <w:tcPr>
            <w:tcW w:type="dxa" w:w="3024"/>
          </w:tcPr>
          <w:p>
            <w:r/>
            <w:r>
              <w:rPr>
                <w:sz w:val="19"/>
              </w:rPr>
              <w:t>No — opposite of original hypothesis, reported as found (Section 12)</w:t>
            </w:r>
          </w:p>
        </w:tc>
      </w:tr>
    </w:tbl>
    <w:p/>
    <w:p>
      <w:r>
        <w:t>θ_abstain = 0.628, θ_answer = 0.678 (both fit on calibration data, not hand-picked).</w:t>
      </w:r>
    </w:p>
    <w:p>
      <w:pPr>
        <w:pStyle w:val="Heading2"/>
      </w:pPr>
      <w:r>
        <w:t>5.7 Why EAR is computationally efficient — the core efficiency argument</w:t>
      </w:r>
    </w:p>
    <w:p>
      <w:r>
        <w:t>EAR's only non-trivial cost is the two extra retrieve() calls for the agreement signal — all other signals are O(K) or O(K²) string/arithmetic operations on data already in memory. Measured on this project's own hardware: Dense-only retrieval 47.4 ms mean, BM25-only 47.5 ms mean, giving a total EAR decision overhead of ≈95 ms. The natural alternative — using a language model to judge evidence trustworthiness, as in SURE-RAG-style approaches or this project's own RAGAS-style judge (Section 14) — was measured at 10.6–15.1 seconds mean per query on identical hardware. EAR's signal computation is therefore approximately 110–160× faster than an LLM-judge alternative for a comparable category of decision, while (Section 14.2) still producing a measurable downstream faithfulness improvement when used to gate generation.</w:t>
      </w:r>
    </w:p>
    <w:p>
      <w:r>
        <w:rPr>
          <w:b/>
          <w:sz w:val="19"/>
        </w:rPr>
        <w:t xml:space="preserve">Table 2. </w:t>
      </w:r>
      <w:r>
        <w:rPr>
          <w:i/>
          <w:color w:val="6B7280"/>
          <w:sz w:val="19"/>
        </w:rPr>
        <w:t>EAR's measured efficiency versus an LLM-judge verification alternative, same hardware.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Approach</w:t>
            </w:r>
          </w:p>
        </w:tc>
        <w:tc>
          <w:tcPr>
            <w:tcW w:type="dxa" w:w="3024"/>
            <w:shd w:val="clear" w:fill="6C5CE7"/>
          </w:tcPr>
          <w:p>
            <w:r/>
            <w:r>
              <w:rPr>
                <w:b/>
                <w:color w:val="FFFFFF"/>
                <w:sz w:val="19"/>
              </w:rPr>
              <w:t>Latency per decision</w:t>
            </w:r>
          </w:p>
        </w:tc>
        <w:tc>
          <w:tcPr>
            <w:tcW w:type="dxa" w:w="3024"/>
            <w:shd w:val="clear" w:fill="6C5CE7"/>
          </w:tcPr>
          <w:p>
            <w:r/>
            <w:r>
              <w:rPr>
                <w:b/>
                <w:color w:val="FFFFFF"/>
                <w:sz w:val="19"/>
              </w:rPr>
              <w:t>Extra model calls</w:t>
            </w:r>
          </w:p>
        </w:tc>
      </w:tr>
      <w:tr>
        <w:tc>
          <w:tcPr>
            <w:tcW w:type="dxa" w:w="3024"/>
          </w:tcPr>
          <w:p>
            <w:r/>
            <w:r>
              <w:rPr>
                <w:sz w:val="19"/>
              </w:rPr>
              <w:t>EAR (this work)</w:t>
            </w:r>
          </w:p>
        </w:tc>
        <w:tc>
          <w:tcPr>
            <w:tcW w:type="dxa" w:w="3024"/>
          </w:tcPr>
          <w:p>
            <w:r/>
            <w:r>
              <w:rPr>
                <w:sz w:val="19"/>
              </w:rPr>
              <w:t>≈95 ms</w:t>
            </w:r>
          </w:p>
        </w:tc>
        <w:tc>
          <w:tcPr>
            <w:tcW w:type="dxa" w:w="3024"/>
          </w:tcPr>
          <w:p>
            <w:r/>
            <w:r>
              <w:rPr>
                <w:sz w:val="19"/>
              </w:rPr>
              <w:t>0 (reuses existing retrieval)</w:t>
            </w:r>
          </w:p>
        </w:tc>
      </w:tr>
      <w:tr>
        <w:tc>
          <w:tcPr>
            <w:tcW w:type="dxa" w:w="3024"/>
          </w:tcPr>
          <w:p>
            <w:r/>
            <w:r>
              <w:rPr>
                <w:sz w:val="19"/>
              </w:rPr>
              <w:t>LLM-judge verification (RAGAS-style, this project's own implementation)</w:t>
            </w:r>
          </w:p>
        </w:tc>
        <w:tc>
          <w:tcPr>
            <w:tcW w:type="dxa" w:w="3024"/>
          </w:tcPr>
          <w:p>
            <w:r/>
            <w:r>
              <w:rPr>
                <w:sz w:val="19"/>
              </w:rPr>
              <w:t>10.6 – 15.1 s</w:t>
            </w:r>
          </w:p>
        </w:tc>
        <w:tc>
          <w:tcPr>
            <w:tcW w:type="dxa" w:w="3024"/>
          </w:tcPr>
          <w:p>
            <w:r/>
            <w:r>
              <w:rPr>
                <w:sz w:val="19"/>
              </w:rPr>
              <w:t>5–6 per query</w:t>
            </w:r>
          </w:p>
        </w:tc>
      </w:tr>
      <w:tr>
        <w:tc>
          <w:tcPr>
            <w:tcW w:type="dxa" w:w="3024"/>
          </w:tcPr>
          <w:p>
            <w:r/>
            <w:r>
              <w:rPr>
                <w:sz w:val="19"/>
              </w:rPr>
              <w:t>Speedup</w:t>
            </w:r>
          </w:p>
        </w:tc>
        <w:tc>
          <w:tcPr>
            <w:tcW w:type="dxa" w:w="3024"/>
          </w:tcPr>
          <w:p>
            <w:r/>
            <w:r>
              <w:rPr>
                <w:sz w:val="19"/>
              </w:rPr>
              <w:t>≈110–160×</w:t>
            </w:r>
          </w:p>
        </w:tc>
        <w:tc>
          <w:tcPr>
            <w:tcW w:type="dxa" w:w="3024"/>
          </w:tcPr>
          <w:p>
            <w:r/>
            <w:r>
              <w:rPr>
                <w:sz w:val="19"/>
              </w:rPr>
              <w:t>—</w:t>
            </w:r>
          </w:p>
        </w:tc>
      </w:tr>
    </w:tbl>
    <w:p/>
    <w:p>
      <w:pPr>
        <w:pStyle w:val="Heading1"/>
      </w:pPr>
      <w:r>
        <w:t>6. System Architecture</w:t>
      </w:r>
    </w:p>
    <w:p>
      <w:r>
        <w:rPr>
          <w:rFonts w:ascii="Consolas" w:hAnsi="Consolas"/>
          <w:sz w:val="19"/>
        </w:rPr>
        <w:t>PDF / scanned document</w:t>
        <w:br/>
        <w:t xml:space="preserve">  → PyMuPDF text extraction, else Tesseract OCR (+ real per-word confidence capture)</w:t>
        <w:br/>
        <w:t xml:space="preserve">  → paragraph-aware chunking (950 characters, 100-character overlap)</w:t>
        <w:br/>
        <w:t xml:space="preserve">  → MiniLM embeddings (384-dim; TF-IDF fallback) + real BM25 index, built side by side</w:t>
        <w:br/>
        <w:t xml:space="preserve">  → retrieval: Dense cosine | BM25 | Hybrid (Reciprocal Rank Fusion, k=60) [+ optional cross-encoder rerank]</w:t>
        <w:br/>
        <w:t xml:space="preserve">  → EAR: compute 4 signals → sufficiency score → decision</w:t>
        <w:br/>
        <w:t xml:space="preserve">       • answer              → generate (local LLM / Anthropic API / extractive) + groundedness pre-check</w:t>
        <w:br/>
        <w:t xml:space="preserve">       • expand_retrieval    → re-retrieve with larger k, then answer</w:t>
        <w:br/>
        <w:t xml:space="preserve">       • inspect_structure   → surface conflicting evidence for human review</w:t>
        <w:br/>
        <w:t xml:space="preserve">       • abstain             → no answer generated</w:t>
      </w:r>
    </w:p>
    <w:p>
      <w:r>
        <w:t>Everything above the EAR layer — chunking, embeddings, query rewriting, the hierarchical question tree, LLM/extractive answer generation, and the groundedness pre-check — pre-dates this contribution; EAR and the real BM25/RVQ implementations are this project's additions to it.</w:t>
      </w:r>
    </w:p>
    <w:p>
      <w:pPr>
        <w:pStyle w:val="Heading1"/>
      </w:pPr>
      <w:r>
        <w:t>7. Standard Algorithms: Formal Definitions</w:t>
      </w:r>
    </w:p>
    <w:p>
      <w:r>
        <w:t>For completeness and reproducibility, this section gives the exact formulas implemented for every retrieval and compression component this project uses or upgraded, alongside EAR.</w:t>
      </w:r>
    </w:p>
    <w:p>
      <w:pPr>
        <w:pStyle w:val="Heading2"/>
      </w:pPr>
      <w:r>
        <w:t>7.1 BM25 (real lexical retrieval)</w:t>
      </w:r>
    </w:p>
    <w:p>
      <w:r>
        <w:t>The prior implementation scored lexical relevance by uncalibrated substring term overlap. This work replaces it with real BM25 (rank_bm25.BM25Okapi): for query q = {q₁...qₙ} and document D,</w:t>
      </w:r>
    </w:p>
    <w:p>
      <w:pPr>
        <w:tabs>
          <w:tab w:pos="9072" w:val="left"/>
        </w:tabs>
        <w:spacing w:before="120" w:after="120"/>
        <w:jc w:val="center"/>
      </w:pPr>
      <w:r>
        <w:rPr>
          <w:rFonts w:ascii="Cambria Math" w:hAnsi="Cambria Math"/>
          <w:i/>
          <w:sz w:val="24"/>
        </w:rPr>
        <w:t>score(D,q) = Σᵢ IDF(qᵢ) · f(qᵢ,D)(k₁+1) / [f(qᵢ,D) + k₁(1−b+b·|D|/avgdl)]</w:t>
      </w:r>
      <w:r>
        <w:tab/>
      </w:r>
      <w:r>
        <w:rPr>
          <w:color w:val="6B7280"/>
          <w:sz w:val="20"/>
        </w:rPr>
        <w:t>(8)</w:t>
      </w:r>
    </w:p>
    <w:p>
      <w:r>
        <w:t>where f(qᵢ,D) is the frequency of term qᵢ in D, |D| the document length, avgdl the corpus average document length, and k₁, b standard tuning constants. IDF(qᵢ) down-weights terms common across the whole corpus, so rare identifiers (clause numbers, part codes) score highly when matched exactly — the complementary strength to dense retrieval's semantic matching.</w:t>
      </w:r>
    </w:p>
    <w:p>
      <w:pPr>
        <w:pStyle w:val="Heading2"/>
      </w:pPr>
      <w:r>
        <w:t>7.2 Dense retrieval</w:t>
      </w:r>
    </w:p>
    <w:p>
      <w:r>
        <w:t>Cosine similarity between L2-normalized query and chunk embeddings (MiniLM, 384-dim):</w:t>
      </w:r>
    </w:p>
    <w:p>
      <w:pPr>
        <w:tabs>
          <w:tab w:pos="9072" w:val="left"/>
        </w:tabs>
        <w:spacing w:before="120" w:after="120"/>
        <w:jc w:val="center"/>
      </w:pPr>
      <w:r>
        <w:rPr>
          <w:rFonts w:ascii="Cambria Math" w:hAnsi="Cambria Math"/>
          <w:i/>
          <w:sz w:val="24"/>
        </w:rPr>
        <w:t>cos(q,d) = (q · d) / (‖q‖ ‖d‖)</w:t>
      </w:r>
      <w:r>
        <w:tab/>
      </w:r>
      <w:r>
        <w:rPr>
          <w:color w:val="6B7280"/>
          <w:sz w:val="20"/>
        </w:rPr>
        <w:t>(9)</w:t>
      </w:r>
    </w:p>
    <w:p>
      <w:pPr>
        <w:pStyle w:val="Heading2"/>
      </w:pPr>
      <w:r>
        <w:t>7.3 Reciprocal Rank Fusion (Hybrid)</w:t>
      </w:r>
    </w:p>
    <w:p>
      <w:r>
        <w:t>Rankings, not raw scores, are fused — avoiding the need to calibrate two incompatible score scales:</w:t>
      </w:r>
    </w:p>
    <w:p>
      <w:pPr>
        <w:tabs>
          <w:tab w:pos="9072" w:val="left"/>
        </w:tabs>
        <w:spacing w:before="120" w:after="120"/>
        <w:jc w:val="center"/>
      </w:pPr>
      <w:r>
        <w:rPr>
          <w:rFonts w:ascii="Cambria Math" w:hAnsi="Cambria Math"/>
          <w:i/>
          <w:sz w:val="24"/>
        </w:rPr>
        <w:t>RRF(c) = Σ_{r ∈ rankings} 1 / (k + rank_r(c)),  k = 60</w:t>
      </w:r>
      <w:r>
        <w:tab/>
      </w:r>
      <w:r>
        <w:rPr>
          <w:color w:val="6B7280"/>
          <w:sz w:val="20"/>
        </w:rPr>
        <w:t>(10)</w:t>
      </w:r>
    </w:p>
    <w:p>
      <w:pPr>
        <w:pStyle w:val="Heading2"/>
      </w:pPr>
      <w:r>
        <w:t>7.4 Cross-encoder reranking</w:t>
      </w:r>
    </w:p>
    <w:p>
      <w:r>
        <w:t>The top 3K fused candidates are optionally rescored by a cross-encoder (ms-marco-MiniLM-L-6-v2), which reads the query and passage jointly rather than independently embedding them, trading latency for precision.</w:t>
      </w:r>
    </w:p>
    <w:p>
      <w:pPr>
        <w:pStyle w:val="Heading2"/>
      </w:pPr>
      <w:r>
        <w:t>7.5 Residual Vector Quantization (RVQ)</w:t>
      </w:r>
    </w:p>
    <w:p>
      <w:r>
        <w:t>A 2-stage k-means residual quantizer compresses each embedding x into two small integer codes. Stage 1 assigns x to its nearest of N centroids C⁽¹⁾; stage 2 quantizes the stage-1 residual against a second codebook C⁽²⁾:</w:t>
      </w:r>
    </w:p>
    <w:p>
      <w:pPr>
        <w:tabs>
          <w:tab w:pos="9072" w:val="left"/>
        </w:tabs>
        <w:spacing w:before="120" w:after="120"/>
        <w:jc w:val="center"/>
      </w:pPr>
      <w:r>
        <w:rPr>
          <w:rFonts w:ascii="Cambria Math" w:hAnsi="Cambria Math"/>
          <w:i/>
          <w:sz w:val="24"/>
        </w:rPr>
        <w:t>i₁ = argmin_j ‖x − C⁽¹⁾ⱼ‖,   r = x − C⁽¹⁾_{i₁},   i₂ = argmin_j ‖r − C⁽²⁾ⱼ‖</w:t>
      </w:r>
      <w:r>
        <w:tab/>
      </w:r>
      <w:r>
        <w:rPr>
          <w:color w:val="6B7280"/>
          <w:sz w:val="20"/>
        </w:rPr>
        <w:t>(11)</w:t>
      </w:r>
    </w:p>
    <w:p>
      <w:pPr>
        <w:tabs>
          <w:tab w:pos="9072" w:val="left"/>
        </w:tabs>
        <w:spacing w:before="120" w:after="120"/>
        <w:jc w:val="center"/>
      </w:pPr>
      <w:r>
        <w:rPr>
          <w:rFonts w:ascii="Cambria Math" w:hAnsi="Cambria Math"/>
          <w:i/>
          <w:sz w:val="24"/>
        </w:rPr>
        <w:t>x̂ = C⁽¹⁾_{i₁} + C⁽²⁾_{i₂}</w:t>
      </w:r>
      <w:r>
        <w:tab/>
      </w:r>
      <w:r>
        <w:rPr>
          <w:color w:val="6B7280"/>
          <w:sz w:val="20"/>
        </w:rPr>
        <w:t>(12)</w:t>
      </w:r>
    </w:p>
    <w:p>
      <w:r>
        <w:t>Reconstruction fidelity is measured by mean cosine similarity between x and x̂ over the corpus; compression ratio is (dim × 4 bytes) / (stages × ⌈log₂(N)⌉ / 8 bytes). Section 15 reports the measured tradeoff and a root-cause analysis of the resulting recall loss.</w:t>
      </w:r>
    </w:p>
    <w:p>
      <w:pPr>
        <w:pStyle w:val="Heading2"/>
      </w:pPr>
      <w:r>
        <w:t>7.6 Statistical tests used throughout</w:t>
      </w:r>
    </w:p>
    <w:p>
      <w:r>
        <w:t>Bootstrap confidence interval (resample-with-replacement, 1,000–5,000 resamples):</w:t>
      </w:r>
    </w:p>
    <w:p>
      <w:pPr>
        <w:tabs>
          <w:tab w:pos="9072" w:val="left"/>
        </w:tabs>
        <w:spacing w:before="120" w:after="120"/>
        <w:jc w:val="center"/>
      </w:pPr>
      <w:r>
        <w:rPr>
          <w:rFonts w:ascii="Cambria Math" w:hAnsi="Cambria Math"/>
          <w:i/>
          <w:sz w:val="24"/>
        </w:rPr>
        <w:t>CI₉₅ = [Q₀.₀₂₅({x̄*ᵦ}), Q₀.₉₇₅({x̄*ᵦ})]</w:t>
      </w:r>
      <w:r>
        <w:tab/>
      </w:r>
      <w:r>
        <w:rPr>
          <w:color w:val="6B7280"/>
          <w:sz w:val="20"/>
        </w:rPr>
        <w:t>(13)</w:t>
      </w:r>
    </w:p>
    <w:p>
      <w:r>
        <w:t>Welch's two-sample t-test (unequal variance), used for the RVQ root-cause analysis (Section 15.1):</w:t>
      </w:r>
    </w:p>
    <w:p>
      <w:pPr>
        <w:tabs>
          <w:tab w:pos="9072" w:val="left"/>
        </w:tabs>
        <w:spacing w:before="120" w:after="120"/>
        <w:jc w:val="center"/>
      </w:pPr>
      <w:r>
        <w:rPr>
          <w:rFonts w:ascii="Cambria Math" w:hAnsi="Cambria Math"/>
          <w:i/>
          <w:sz w:val="24"/>
        </w:rPr>
        <w:t>t = (x̄₁ − x̄₂) / √(s₁²/n₁ + s₂²/n₂)</w:t>
      </w:r>
      <w:r>
        <w:tab/>
      </w:r>
      <w:r>
        <w:rPr>
          <w:color w:val="6B7280"/>
          <w:sz w:val="20"/>
        </w:rPr>
        <w:t>(14)</w:t>
      </w:r>
    </w:p>
    <w:p>
      <w:r>
        <w:t>Pearson correlation, used for the OCR-confidence calibration test (Section 13.1):</w:t>
      </w:r>
    </w:p>
    <w:p>
      <w:pPr>
        <w:tabs>
          <w:tab w:pos="9072" w:val="left"/>
        </w:tabs>
        <w:spacing w:before="120" w:after="120"/>
        <w:jc w:val="center"/>
      </w:pPr>
      <w:r>
        <w:rPr>
          <w:rFonts w:ascii="Cambria Math" w:hAnsi="Cambria Math"/>
          <w:i/>
          <w:sz w:val="24"/>
        </w:rPr>
        <w:t>r = Σ(xᵢ−x̄)(yᵢ−ȳ) / √[Σ(xᵢ−x̄)² Σ(yᵢ−ȳ)²]</w:t>
      </w:r>
      <w:r>
        <w:tab/>
      </w:r>
      <w:r>
        <w:rPr>
          <w:color w:val="6B7280"/>
          <w:sz w:val="20"/>
        </w:rPr>
        <w:t>(15)</w:t>
      </w:r>
    </w:p>
    <w:p>
      <w:pPr>
        <w:pStyle w:val="Heading1"/>
      </w:pPr>
      <w:r>
        <w:t>8. Experimental Setup</w:t>
      </w:r>
    </w:p>
    <w:p>
      <w:r>
        <w:t>research/run_benchmark.py (main benchmark), research/run_rvq_analysis.py (Section 15), research/run_ocr_robustness.py (Section 13), research/run_full_metrics.py (Section 14), and research/run_ndsu_reproduction.py (Section 16) — all against real data. No LLM API key is available in this environment; local-LLM experiments use Ollama (llama3.2:latest, 3.2B parameters) running entirely offline.</w:t>
      </w:r>
    </w:p>
    <w:p>
      <w:pPr>
        <w:pStyle w:val="Heading1"/>
      </w:pPr>
      <w:r>
        <w:t>9. Datasets</w:t>
      </w:r>
    </w:p>
    <w:p>
      <w:r>
        <w:t>Primary: OHR-Bench (Zhang et al., arXiv:2412.02592, ICCV 2025) — a published, human-verified, page-localized QA benchmark across six document domains (law, finance, textbook, manual, paper, news), used because the original QuIM-RAG paper's NDSU corpus is private. A stratified 420-QA-pair subset (seed 42, 70/domain) is split 40/60 into calibration (168 pairs, used only to fit EAR) and evaluation (252 pairs, used for all headline numbers) — disjoint by construction. A second, independent 70-QA-pair subset (seed 17, manual + textbook domains) is used only for the NDSU substitute-data reproduction (Section 16), giving a genuine second data point for EAR's core claim. A synthetic degradation set of 15 documents, rendered and degraded at three severities, is used for the OCR robustness study (Section 13).</w:t>
      </w:r>
    </w:p>
    <w:p>
      <w:pPr>
        <w:pStyle w:val="Heading1"/>
      </w:pPr>
      <w:r>
        <w:t>10. Evaluation Metrics</w:t>
      </w:r>
    </w:p>
    <w:p>
      <w:r>
        <w:t>Retrieval: Recall/Precision/F1/HitRate/MAP/nDCG/MRR@K, R-Precision, latency. Generation: Exact Match, token-F1, MiniLM semantic similarity, BERTScore, numeric-answer accuracy, citation precision/recall. Faithfulness, Answer Relevancy, Context Precision, Context Recall, and Harmfulness are computed by this project's own implementation of the published RAGAS definitions, judged by the local LLM — not the `ragas` PyPI package, stated plainly throughout, not implied otherwise. OCR quality: CER/WER (standard edit-distance definitions) and Pearson/Spearman correlation against real Tesseract confidence.</w:t>
      </w:r>
    </w:p>
    <w:p>
      <w:pPr>
        <w:pStyle w:val="Heading1"/>
      </w:pPr>
      <w:r>
        <w:t>11. Results: Main Benchmark (420-query OHR-Bench subset)</w:t>
      </w:r>
    </w:p>
    <w:p>
      <w:r>
        <w:rPr>
          <w:b/>
          <w:sz w:val="19"/>
        </w:rPr>
        <w:t xml:space="preserve">Table 3. </w:t>
      </w:r>
      <w:r>
        <w:rPr>
          <w:i/>
          <w:color w:val="6B7280"/>
          <w:sz w:val="19"/>
        </w:rPr>
        <w:t>Baseline retrieval comparison, 252 evaluation queries. p-values: two-sided paired bootstrap on nDCG@5, 2,000 resamples.</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fill="6C5CE7"/>
          </w:tcPr>
          <w:p>
            <w:r/>
            <w:r>
              <w:rPr>
                <w:b/>
                <w:color w:val="FFFFFF"/>
                <w:sz w:val="19"/>
              </w:rPr>
              <w:t>Config</w:t>
            </w:r>
          </w:p>
        </w:tc>
        <w:tc>
          <w:tcPr>
            <w:tcW w:type="dxa" w:w="1512"/>
            <w:shd w:val="clear" w:fill="6C5CE7"/>
          </w:tcPr>
          <w:p>
            <w:r/>
            <w:r>
              <w:rPr>
                <w:b/>
                <w:color w:val="FFFFFF"/>
                <w:sz w:val="19"/>
              </w:rPr>
              <w:t>Recall@5</w:t>
            </w:r>
          </w:p>
        </w:tc>
        <w:tc>
          <w:tcPr>
            <w:tcW w:type="dxa" w:w="1512"/>
            <w:shd w:val="clear" w:fill="6C5CE7"/>
          </w:tcPr>
          <w:p>
            <w:r/>
            <w:r>
              <w:rPr>
                <w:b/>
                <w:color w:val="FFFFFF"/>
                <w:sz w:val="19"/>
              </w:rPr>
              <w:t>MRR@5</w:t>
            </w:r>
          </w:p>
        </w:tc>
        <w:tc>
          <w:tcPr>
            <w:tcW w:type="dxa" w:w="1512"/>
            <w:shd w:val="clear" w:fill="6C5CE7"/>
          </w:tcPr>
          <w:p>
            <w:r/>
            <w:r>
              <w:rPr>
                <w:b/>
                <w:color w:val="FFFFFF"/>
                <w:sz w:val="19"/>
              </w:rPr>
              <w:t>nDCG@5</w:t>
            </w:r>
          </w:p>
        </w:tc>
        <w:tc>
          <w:tcPr>
            <w:tcW w:type="dxa" w:w="1512"/>
            <w:shd w:val="clear" w:fill="6C5CE7"/>
          </w:tcPr>
          <w:p>
            <w:r/>
            <w:r>
              <w:rPr>
                <w:b/>
                <w:color w:val="FFFFFF"/>
                <w:sz w:val="19"/>
              </w:rPr>
              <w:t>Latency (mean)</w:t>
            </w:r>
          </w:p>
        </w:tc>
        <w:tc>
          <w:tcPr>
            <w:tcW w:type="dxa" w:w="1512"/>
            <w:shd w:val="clear" w:fill="6C5CE7"/>
          </w:tcPr>
          <w:p>
            <w:r/>
            <w:r>
              <w:rPr>
                <w:b/>
                <w:color w:val="FFFFFF"/>
                <w:sz w:val="19"/>
              </w:rPr>
              <w:t>p vs. Dense-only</w:t>
            </w:r>
          </w:p>
        </w:tc>
      </w:tr>
      <w:tr>
        <w:tc>
          <w:tcPr>
            <w:tcW w:type="dxa" w:w="1512"/>
          </w:tcPr>
          <w:p>
            <w:r/>
            <w:r>
              <w:rPr>
                <w:sz w:val="19"/>
              </w:rPr>
              <w:t>Dense only</w:t>
            </w:r>
          </w:p>
        </w:tc>
        <w:tc>
          <w:tcPr>
            <w:tcW w:type="dxa" w:w="1512"/>
          </w:tcPr>
          <w:p>
            <w:r/>
            <w:r>
              <w:rPr>
                <w:sz w:val="19"/>
              </w:rPr>
              <w:t>0.378</w:t>
            </w:r>
          </w:p>
        </w:tc>
        <w:tc>
          <w:tcPr>
            <w:tcW w:type="dxa" w:w="1512"/>
          </w:tcPr>
          <w:p>
            <w:r/>
            <w:r>
              <w:rPr>
                <w:sz w:val="19"/>
              </w:rPr>
              <w:t>0.726</w:t>
            </w:r>
          </w:p>
        </w:tc>
        <w:tc>
          <w:tcPr>
            <w:tcW w:type="dxa" w:w="1512"/>
          </w:tcPr>
          <w:p>
            <w:r/>
            <w:r>
              <w:rPr>
                <w:sz w:val="19"/>
              </w:rPr>
              <w:t>0.477</w:t>
            </w:r>
          </w:p>
        </w:tc>
        <w:tc>
          <w:tcPr>
            <w:tcW w:type="dxa" w:w="1512"/>
          </w:tcPr>
          <w:p>
            <w:r/>
            <w:r>
              <w:rPr>
                <w:sz w:val="19"/>
              </w:rPr>
              <w:t>47.4 ms</w:t>
            </w:r>
          </w:p>
        </w:tc>
        <w:tc>
          <w:tcPr>
            <w:tcW w:type="dxa" w:w="1512"/>
          </w:tcPr>
          <w:p>
            <w:r/>
            <w:r>
              <w:rPr>
                <w:sz w:val="19"/>
              </w:rPr>
              <w:t>—</w:t>
            </w:r>
          </w:p>
        </w:tc>
      </w:tr>
      <w:tr>
        <w:tc>
          <w:tcPr>
            <w:tcW w:type="dxa" w:w="1512"/>
          </w:tcPr>
          <w:p>
            <w:r/>
            <w:r>
              <w:rPr>
                <w:sz w:val="19"/>
              </w:rPr>
              <w:t>BM25 (real)</w:t>
            </w:r>
          </w:p>
        </w:tc>
        <w:tc>
          <w:tcPr>
            <w:tcW w:type="dxa" w:w="1512"/>
          </w:tcPr>
          <w:p>
            <w:r/>
            <w:r>
              <w:rPr>
                <w:sz w:val="19"/>
              </w:rPr>
              <w:t>0.407</w:t>
            </w:r>
          </w:p>
        </w:tc>
        <w:tc>
          <w:tcPr>
            <w:tcW w:type="dxa" w:w="1512"/>
          </w:tcPr>
          <w:p>
            <w:r/>
            <w:r>
              <w:rPr>
                <w:sz w:val="19"/>
              </w:rPr>
              <w:t>0.837</w:t>
            </w:r>
          </w:p>
        </w:tc>
        <w:tc>
          <w:tcPr>
            <w:tcW w:type="dxa" w:w="1512"/>
          </w:tcPr>
          <w:p>
            <w:r/>
            <w:r>
              <w:rPr>
                <w:sz w:val="19"/>
              </w:rPr>
              <w:t>0.528</w:t>
            </w:r>
          </w:p>
        </w:tc>
        <w:tc>
          <w:tcPr>
            <w:tcW w:type="dxa" w:w="1512"/>
          </w:tcPr>
          <w:p>
            <w:r/>
            <w:r>
              <w:rPr>
                <w:sz w:val="19"/>
              </w:rPr>
              <w:t>47.5 ms</w:t>
            </w:r>
          </w:p>
        </w:tc>
        <w:tc>
          <w:tcPr>
            <w:tcW w:type="dxa" w:w="1512"/>
          </w:tcPr>
          <w:p>
            <w:r/>
            <w:r>
              <w:rPr>
                <w:sz w:val="19"/>
              </w:rPr>
              <w:t>&lt;0.001</w:t>
            </w:r>
          </w:p>
        </w:tc>
      </w:tr>
      <w:tr>
        <w:tc>
          <w:tcPr>
            <w:tcW w:type="dxa" w:w="1512"/>
          </w:tcPr>
          <w:p>
            <w:r/>
            <w:r>
              <w:rPr>
                <w:sz w:val="19"/>
              </w:rPr>
              <w:t>Hybrid (RRF)</w:t>
            </w:r>
          </w:p>
        </w:tc>
        <w:tc>
          <w:tcPr>
            <w:tcW w:type="dxa" w:w="1512"/>
          </w:tcPr>
          <w:p>
            <w:r/>
            <w:r>
              <w:rPr>
                <w:sz w:val="19"/>
              </w:rPr>
              <w:t>0.407</w:t>
            </w:r>
          </w:p>
        </w:tc>
        <w:tc>
          <w:tcPr>
            <w:tcW w:type="dxa" w:w="1512"/>
          </w:tcPr>
          <w:p>
            <w:r/>
            <w:r>
              <w:rPr>
                <w:sz w:val="19"/>
              </w:rPr>
              <w:t>0.780</w:t>
            </w:r>
          </w:p>
        </w:tc>
        <w:tc>
          <w:tcPr>
            <w:tcW w:type="dxa" w:w="1512"/>
          </w:tcPr>
          <w:p>
            <w:r/>
            <w:r>
              <w:rPr>
                <w:sz w:val="19"/>
              </w:rPr>
              <w:t>0.515</w:t>
            </w:r>
          </w:p>
        </w:tc>
        <w:tc>
          <w:tcPr>
            <w:tcW w:type="dxa" w:w="1512"/>
          </w:tcPr>
          <w:p>
            <w:r/>
            <w:r>
              <w:rPr>
                <w:sz w:val="19"/>
              </w:rPr>
              <w:t>52.7 ms</w:t>
            </w:r>
          </w:p>
        </w:tc>
        <w:tc>
          <w:tcPr>
            <w:tcW w:type="dxa" w:w="1512"/>
          </w:tcPr>
          <w:p>
            <w:r/>
            <w:r>
              <w:rPr>
                <w:sz w:val="19"/>
              </w:rPr>
              <w:t>&lt;0.001</w:t>
            </w:r>
          </w:p>
        </w:tc>
      </w:tr>
      <w:tr>
        <w:tc>
          <w:tcPr>
            <w:tcW w:type="dxa" w:w="1512"/>
          </w:tcPr>
          <w:p>
            <w:r/>
            <w:r>
              <w:rPr>
                <w:sz w:val="19"/>
              </w:rPr>
              <w:t>Hybrid + rerank</w:t>
            </w:r>
          </w:p>
        </w:tc>
        <w:tc>
          <w:tcPr>
            <w:tcW w:type="dxa" w:w="1512"/>
          </w:tcPr>
          <w:p>
            <w:r/>
            <w:r>
              <w:rPr>
                <w:sz w:val="19"/>
              </w:rPr>
              <w:t>0.441</w:t>
            </w:r>
          </w:p>
        </w:tc>
        <w:tc>
          <w:tcPr>
            <w:tcW w:type="dxa" w:w="1512"/>
          </w:tcPr>
          <w:p>
            <w:r/>
            <w:r>
              <w:rPr>
                <w:sz w:val="19"/>
              </w:rPr>
              <w:t>0.870</w:t>
            </w:r>
          </w:p>
        </w:tc>
        <w:tc>
          <w:tcPr>
            <w:tcW w:type="dxa" w:w="1512"/>
          </w:tcPr>
          <w:p>
            <w:r/>
            <w:r>
              <w:rPr>
                <w:sz w:val="19"/>
              </w:rPr>
              <w:t>0.574</w:t>
            </w:r>
          </w:p>
        </w:tc>
        <w:tc>
          <w:tcPr>
            <w:tcW w:type="dxa" w:w="1512"/>
          </w:tcPr>
          <w:p>
            <w:r/>
            <w:r>
              <w:rPr>
                <w:sz w:val="19"/>
              </w:rPr>
              <w:t>202.1 ms</w:t>
            </w:r>
          </w:p>
        </w:tc>
        <w:tc>
          <w:tcPr>
            <w:tcW w:type="dxa" w:w="1512"/>
          </w:tcPr>
          <w:p>
            <w:r/>
            <w:r>
              <w:rPr>
                <w:sz w:val="19"/>
              </w:rPr>
              <w:t>&lt;0.001</w:t>
            </w:r>
          </w:p>
        </w:tc>
      </w:tr>
      <w:tr>
        <w:tc>
          <w:tcPr>
            <w:tcW w:type="dxa" w:w="1512"/>
          </w:tcPr>
          <w:p>
            <w:r/>
            <w:r>
              <w:rPr>
                <w:sz w:val="19"/>
              </w:rPr>
              <w:t>Hybrid + rewriting</w:t>
            </w:r>
          </w:p>
        </w:tc>
        <w:tc>
          <w:tcPr>
            <w:tcW w:type="dxa" w:w="1512"/>
          </w:tcPr>
          <w:p>
            <w:r/>
            <w:r>
              <w:rPr>
                <w:sz w:val="19"/>
              </w:rPr>
              <w:t>0.375</w:t>
            </w:r>
          </w:p>
        </w:tc>
        <w:tc>
          <w:tcPr>
            <w:tcW w:type="dxa" w:w="1512"/>
          </w:tcPr>
          <w:p>
            <w:r/>
            <w:r>
              <w:rPr>
                <w:sz w:val="19"/>
              </w:rPr>
              <w:t>0.694</w:t>
            </w:r>
          </w:p>
        </w:tc>
        <w:tc>
          <w:tcPr>
            <w:tcW w:type="dxa" w:w="1512"/>
          </w:tcPr>
          <w:p>
            <w:r/>
            <w:r>
              <w:rPr>
                <w:sz w:val="19"/>
              </w:rPr>
              <w:t>0.453</w:t>
            </w:r>
          </w:p>
        </w:tc>
        <w:tc>
          <w:tcPr>
            <w:tcW w:type="dxa" w:w="1512"/>
          </w:tcPr>
          <w:p>
            <w:r/>
            <w:r>
              <w:rPr>
                <w:sz w:val="19"/>
              </w:rPr>
              <w:t>164.8 ms</w:t>
            </w:r>
          </w:p>
        </w:tc>
        <w:tc>
          <w:tcPr>
            <w:tcW w:type="dxa" w:w="1512"/>
          </w:tcPr>
          <w:p>
            <w:r/>
            <w:r>
              <w:rPr>
                <w:sz w:val="19"/>
              </w:rPr>
              <w:t>0.059 (n.s.)</w:t>
            </w:r>
          </w:p>
        </w:tc>
      </w:tr>
      <w:tr>
        <w:tc>
          <w:tcPr>
            <w:tcW w:type="dxa" w:w="1512"/>
          </w:tcPr>
          <w:p>
            <w:r/>
            <w:r>
              <w:rPr>
                <w:sz w:val="19"/>
              </w:rPr>
              <w:t>Hybrid + rewriting + rerank</w:t>
            </w:r>
          </w:p>
        </w:tc>
        <w:tc>
          <w:tcPr>
            <w:tcW w:type="dxa" w:w="1512"/>
          </w:tcPr>
          <w:p>
            <w:r/>
            <w:r>
              <w:rPr>
                <w:sz w:val="19"/>
              </w:rPr>
              <w:t>0.440</w:t>
            </w:r>
          </w:p>
        </w:tc>
        <w:tc>
          <w:tcPr>
            <w:tcW w:type="dxa" w:w="1512"/>
          </w:tcPr>
          <w:p>
            <w:r/>
            <w:r>
              <w:rPr>
                <w:sz w:val="19"/>
              </w:rPr>
              <w:t>0.875</w:t>
            </w:r>
          </w:p>
        </w:tc>
        <w:tc>
          <w:tcPr>
            <w:tcW w:type="dxa" w:w="1512"/>
          </w:tcPr>
          <w:p>
            <w:r/>
            <w:r>
              <w:rPr>
                <w:sz w:val="19"/>
              </w:rPr>
              <w:t>0.573</w:t>
            </w:r>
          </w:p>
        </w:tc>
        <w:tc>
          <w:tcPr>
            <w:tcW w:type="dxa" w:w="1512"/>
          </w:tcPr>
          <w:p>
            <w:r/>
            <w:r>
              <w:rPr>
                <w:sz w:val="19"/>
              </w:rPr>
              <w:t>327.0 ms</w:t>
            </w:r>
          </w:p>
        </w:tc>
        <w:tc>
          <w:tcPr>
            <w:tcW w:type="dxa" w:w="1512"/>
          </w:tcPr>
          <w:p>
            <w:r/>
            <w:r>
              <w:rPr>
                <w:sz w:val="19"/>
              </w:rPr>
              <w:t>&lt;0.001</w:t>
            </w:r>
          </w:p>
        </w:tc>
      </w:tr>
    </w:tbl>
    <w:p/>
    <w:p>
      <w:pPr>
        <w:spacing w:before="80" w:after="160"/>
        <w:ind w:left="360"/>
        <w:pBdr>
          <w:left w:val="single" w:sz="18" w:color="6C5CE7" w:space="4"/>
        </w:pBdr>
      </w:pPr>
      <w:r>
        <w:rPr>
          <w:color w:val="6B7280"/>
          <w:sz w:val="19"/>
        </w:rPr>
        <w:t>Reported without softening: real BM25 alone (nDCG@5 = 0.528) outperforms the Hybrid RRF fusion (0.515) on this benchmark — query rewriting alone did not significantly improve over Dense-only (p = 0.059). Both findings are counter to what a system designer might expect or prefer to report, and are included as measured.</w:t>
      </w:r>
    </w:p>
    <w:p>
      <w:pPr>
        <w:pStyle w:val="Heading2"/>
      </w:pPr>
      <w:r>
        <w:t>11.1 EAR selective-prediction result</w:t>
      </w:r>
    </w:p>
    <w:p>
      <w:r>
        <w:rPr>
          <w:b/>
          <w:sz w:val="19"/>
        </w:rPr>
        <w:t xml:space="preserve">Table 4. </w:t>
      </w:r>
      <w:r>
        <w:rPr>
          <w:i/>
          <w:color w:val="6B7280"/>
          <w:sz w:val="19"/>
        </w:rPr>
        <w:t>EAR decisions vs. top-1 retrieval accuracy, evaluation split. 95% bootstrap CI (5,000 resamples) on (accuracy-on-answer − baseline): [+2.5, +12.0] points, excluding zero.</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Decision</w:t>
            </w:r>
          </w:p>
        </w:tc>
        <w:tc>
          <w:tcPr>
            <w:tcW w:type="dxa" w:w="3024"/>
            <w:shd w:val="clear" w:fill="6C5CE7"/>
          </w:tcPr>
          <w:p>
            <w:r/>
            <w:r>
              <w:rPr>
                <w:b/>
                <w:color w:val="FFFFFF"/>
                <w:sz w:val="19"/>
              </w:rPr>
              <w:t>n</w:t>
            </w:r>
          </w:p>
        </w:tc>
        <w:tc>
          <w:tcPr>
            <w:tcW w:type="dxa" w:w="3024"/>
            <w:shd w:val="clear" w:fill="6C5CE7"/>
          </w:tcPr>
          <w:p>
            <w:r/>
            <w:r>
              <w:rPr>
                <w:b/>
                <w:color w:val="FFFFFF"/>
                <w:sz w:val="19"/>
              </w:rPr>
              <w:t>Top-1 accuracy</w:t>
            </w:r>
          </w:p>
        </w:tc>
      </w:tr>
      <w:tr>
        <w:tc>
          <w:tcPr>
            <w:tcW w:type="dxa" w:w="3024"/>
          </w:tcPr>
          <w:p>
            <w:r/>
            <w:r>
              <w:rPr>
                <w:sz w:val="19"/>
              </w:rPr>
              <w:t>answer</w:t>
            </w:r>
          </w:p>
        </w:tc>
        <w:tc>
          <w:tcPr>
            <w:tcW w:type="dxa" w:w="3024"/>
          </w:tcPr>
          <w:p>
            <w:r/>
            <w:r>
              <w:rPr>
                <w:sz w:val="19"/>
              </w:rPr>
              <w:t>157</w:t>
            </w:r>
          </w:p>
        </w:tc>
        <w:tc>
          <w:tcPr>
            <w:tcW w:type="dxa" w:w="3024"/>
          </w:tcPr>
          <w:p>
            <w:r/>
            <w:r>
              <w:rPr>
                <w:sz w:val="19"/>
              </w:rPr>
              <w:t>78.3%</w:t>
            </w:r>
          </w:p>
        </w:tc>
      </w:tr>
      <w:tr>
        <w:tc>
          <w:tcPr>
            <w:tcW w:type="dxa" w:w="3024"/>
          </w:tcPr>
          <w:p>
            <w:r/>
            <w:r>
              <w:rPr>
                <w:sz w:val="19"/>
              </w:rPr>
              <w:t>expand_retrieval</w:t>
            </w:r>
          </w:p>
        </w:tc>
        <w:tc>
          <w:tcPr>
            <w:tcW w:type="dxa" w:w="3024"/>
          </w:tcPr>
          <w:p>
            <w:r/>
            <w:r>
              <w:rPr>
                <w:sz w:val="19"/>
              </w:rPr>
              <w:t>44</w:t>
            </w:r>
          </w:p>
        </w:tc>
        <w:tc>
          <w:tcPr>
            <w:tcW w:type="dxa" w:w="3024"/>
          </w:tcPr>
          <w:p>
            <w:r/>
            <w:r>
              <w:rPr>
                <w:sz w:val="19"/>
              </w:rPr>
              <w:t>70.5%</w:t>
            </w:r>
          </w:p>
        </w:tc>
      </w:tr>
      <w:tr>
        <w:tc>
          <w:tcPr>
            <w:tcW w:type="dxa" w:w="3024"/>
          </w:tcPr>
          <w:p>
            <w:r/>
            <w:r>
              <w:rPr>
                <w:sz w:val="19"/>
              </w:rPr>
              <w:t>abstain</w:t>
            </w:r>
          </w:p>
        </w:tc>
        <w:tc>
          <w:tcPr>
            <w:tcW w:type="dxa" w:w="3024"/>
          </w:tcPr>
          <w:p>
            <w:r/>
            <w:r>
              <w:rPr>
                <w:sz w:val="19"/>
              </w:rPr>
              <w:t>49</w:t>
            </w:r>
          </w:p>
        </w:tc>
        <w:tc>
          <w:tcPr>
            <w:tcW w:type="dxa" w:w="3024"/>
          </w:tcPr>
          <w:p>
            <w:r/>
            <w:r>
              <w:rPr>
                <w:sz w:val="19"/>
              </w:rPr>
              <w:t>49.0%</w:t>
            </w:r>
          </w:p>
        </w:tc>
      </w:tr>
      <w:tr>
        <w:tc>
          <w:tcPr>
            <w:tcW w:type="dxa" w:w="3024"/>
          </w:tcPr>
          <w:p>
            <w:r/>
            <w:r>
              <w:rPr>
                <w:sz w:val="19"/>
              </w:rPr>
              <w:t>all queries (unfiltered baseline)</w:t>
            </w:r>
          </w:p>
        </w:tc>
        <w:tc>
          <w:tcPr>
            <w:tcW w:type="dxa" w:w="3024"/>
          </w:tcPr>
          <w:p>
            <w:r/>
            <w:r>
              <w:rPr>
                <w:sz w:val="19"/>
              </w:rPr>
              <w:t>252</w:t>
            </w:r>
          </w:p>
        </w:tc>
        <w:tc>
          <w:tcPr>
            <w:tcW w:type="dxa" w:w="3024"/>
          </w:tcPr>
          <w:p>
            <w:r/>
            <w:r>
              <w:rPr>
                <w:sz w:val="19"/>
              </w:rPr>
              <w:t>71.2%</w:t>
            </w:r>
          </w:p>
        </w:tc>
      </w:tr>
    </w:tbl>
    <w:p/>
    <w:p>
      <w:pPr>
        <w:pStyle w:val="Heading1"/>
      </w:pPr>
      <w:r>
        <w:t>12. Ablation Studies</w:t>
      </w:r>
    </w:p>
    <w:p>
      <w:r>
        <w:t>Leave-one-signal-out: each row refits the logistic model on the remaining three signals (not merely zeroing a weight of the jointly-fit model), evaluated on the same held-out split.</w:t>
      </w:r>
    </w:p>
    <w:p>
      <w:r>
        <w:rPr>
          <w:b/>
          <w:sz w:val="19"/>
        </w:rPr>
        <w:t xml:space="preserve">Table 5. </w:t>
      </w:r>
      <w:r>
        <w:rPr>
          <w:i/>
          <w:color w:val="6B7280"/>
          <w:sz w:val="19"/>
        </w:rPr>
        <w:t>Leave-one-signal-out ablation, main benchmark evaluation split.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Ablation</w:t>
            </w:r>
          </w:p>
        </w:tc>
        <w:tc>
          <w:tcPr>
            <w:tcW w:type="dxa" w:w="2268"/>
            <w:shd w:val="clear" w:fill="6C5CE7"/>
          </w:tcPr>
          <w:p>
            <w:r/>
            <w:r>
              <w:rPr>
                <w:b/>
                <w:color w:val="FFFFFF"/>
                <w:sz w:val="19"/>
              </w:rPr>
              <w:t>Coverage</w:t>
            </w:r>
          </w:p>
        </w:tc>
        <w:tc>
          <w:tcPr>
            <w:tcW w:type="dxa" w:w="2268"/>
            <w:shd w:val="clear" w:fill="6C5CE7"/>
          </w:tcPr>
          <w:p>
            <w:r/>
            <w:r>
              <w:rPr>
                <w:b/>
                <w:color w:val="FFFFFF"/>
                <w:sz w:val="19"/>
              </w:rPr>
              <w:t>Accuracy on answered</w:t>
            </w:r>
          </w:p>
        </w:tc>
        <w:tc>
          <w:tcPr>
            <w:tcW w:type="dxa" w:w="2268"/>
            <w:shd w:val="clear" w:fill="6C5CE7"/>
          </w:tcPr>
          <w:p>
            <w:r/>
            <w:r>
              <w:rPr>
                <w:b/>
                <w:color w:val="FFFFFF"/>
                <w:sz w:val="19"/>
              </w:rPr>
              <w:t>Baseline</w:t>
            </w:r>
          </w:p>
        </w:tc>
      </w:tr>
      <w:tr>
        <w:tc>
          <w:tcPr>
            <w:tcW w:type="dxa" w:w="2268"/>
          </w:tcPr>
          <w:p>
            <w:r/>
            <w:r>
              <w:rPr>
                <w:sz w:val="19"/>
              </w:rPr>
              <w:t>Full model (4 signals)</w:t>
            </w:r>
          </w:p>
        </w:tc>
        <w:tc>
          <w:tcPr>
            <w:tcW w:type="dxa" w:w="2268"/>
          </w:tcPr>
          <w:p>
            <w:r/>
            <w:r>
              <w:rPr>
                <w:sz w:val="19"/>
              </w:rPr>
              <w:t>62.8%</w:t>
            </w:r>
          </w:p>
        </w:tc>
        <w:tc>
          <w:tcPr>
            <w:tcW w:type="dxa" w:w="2268"/>
          </w:tcPr>
          <w:p>
            <w:r/>
            <w:r>
              <w:rPr>
                <w:sz w:val="19"/>
              </w:rPr>
              <w:t>78.3%</w:t>
            </w:r>
          </w:p>
        </w:tc>
        <w:tc>
          <w:tcPr>
            <w:tcW w:type="dxa" w:w="2268"/>
          </w:tcPr>
          <w:p>
            <w:r/>
            <w:r>
              <w:rPr>
                <w:sz w:val="19"/>
              </w:rPr>
              <w:t>71.2%</w:t>
            </w:r>
          </w:p>
        </w:tc>
      </w:tr>
      <w:tr>
        <w:tc>
          <w:tcPr>
            <w:tcW w:type="dxa" w:w="2268"/>
          </w:tcPr>
          <w:p>
            <w:r/>
            <w:r>
              <w:rPr>
                <w:sz w:val="19"/>
              </w:rPr>
              <w:t>without agreement</w:t>
            </w:r>
          </w:p>
        </w:tc>
        <w:tc>
          <w:tcPr>
            <w:tcW w:type="dxa" w:w="2268"/>
          </w:tcPr>
          <w:p>
            <w:r/>
            <w:r>
              <w:rPr>
                <w:sz w:val="19"/>
              </w:rPr>
              <w:t>19.2%</w:t>
            </w:r>
          </w:p>
        </w:tc>
        <w:tc>
          <w:tcPr>
            <w:tcW w:type="dxa" w:w="2268"/>
          </w:tcPr>
          <w:p>
            <w:r/>
            <w:r>
              <w:rPr>
                <w:sz w:val="19"/>
              </w:rPr>
              <w:t>75.0%</w:t>
            </w:r>
          </w:p>
        </w:tc>
        <w:tc>
          <w:tcPr>
            <w:tcW w:type="dxa" w:w="2268"/>
          </w:tcPr>
          <w:p>
            <w:r/>
            <w:r>
              <w:rPr>
                <w:sz w:val="19"/>
              </w:rPr>
              <w:t>71.2%</w:t>
            </w:r>
          </w:p>
        </w:tc>
      </w:tr>
      <w:tr>
        <w:tc>
          <w:tcPr>
            <w:tcW w:type="dxa" w:w="2268"/>
          </w:tcPr>
          <w:p>
            <w:r/>
            <w:r>
              <w:rPr>
                <w:sz w:val="19"/>
              </w:rPr>
              <w:t>without ocr_confidence</w:t>
            </w:r>
          </w:p>
        </w:tc>
        <w:tc>
          <w:tcPr>
            <w:tcW w:type="dxa" w:w="2268"/>
          </w:tcPr>
          <w:p>
            <w:r/>
            <w:r>
              <w:rPr>
                <w:sz w:val="19"/>
              </w:rPr>
              <w:t>62.8% (identical)</w:t>
            </w:r>
          </w:p>
        </w:tc>
        <w:tc>
          <w:tcPr>
            <w:tcW w:type="dxa" w:w="2268"/>
          </w:tcPr>
          <w:p>
            <w:r/>
            <w:r>
              <w:rPr>
                <w:sz w:val="19"/>
              </w:rPr>
              <w:t>78.3% (identical)</w:t>
            </w:r>
          </w:p>
        </w:tc>
        <w:tc>
          <w:tcPr>
            <w:tcW w:type="dxa" w:w="2268"/>
          </w:tcPr>
          <w:p>
            <w:r/>
            <w:r>
              <w:rPr>
                <w:sz w:val="19"/>
              </w:rPr>
              <w:t>71.2%</w:t>
            </w:r>
          </w:p>
        </w:tc>
      </w:tr>
      <w:tr>
        <w:tc>
          <w:tcPr>
            <w:tcW w:type="dxa" w:w="2268"/>
          </w:tcPr>
          <w:p>
            <w:r/>
            <w:r>
              <w:rPr>
                <w:sz w:val="19"/>
              </w:rPr>
              <w:t>without contradiction</w:t>
            </w:r>
          </w:p>
        </w:tc>
        <w:tc>
          <w:tcPr>
            <w:tcW w:type="dxa" w:w="2268"/>
          </w:tcPr>
          <w:p>
            <w:r/>
            <w:r>
              <w:rPr>
                <w:sz w:val="19"/>
              </w:rPr>
              <w:t>63.6%</w:t>
            </w:r>
          </w:p>
        </w:tc>
        <w:tc>
          <w:tcPr>
            <w:tcW w:type="dxa" w:w="2268"/>
          </w:tcPr>
          <w:p>
            <w:r/>
            <w:r>
              <w:rPr>
                <w:sz w:val="19"/>
              </w:rPr>
              <w:t>78.6%</w:t>
            </w:r>
          </w:p>
        </w:tc>
        <w:tc>
          <w:tcPr>
            <w:tcW w:type="dxa" w:w="2268"/>
          </w:tcPr>
          <w:p>
            <w:r/>
            <w:r>
              <w:rPr>
                <w:sz w:val="19"/>
              </w:rPr>
              <w:t>71.2%</w:t>
            </w:r>
          </w:p>
        </w:tc>
      </w:tr>
      <w:tr>
        <w:tc>
          <w:tcPr>
            <w:tcW w:type="dxa" w:w="2268"/>
          </w:tcPr>
          <w:p>
            <w:r/>
            <w:r>
              <w:rPr>
                <w:sz w:val="19"/>
              </w:rPr>
              <w:t>without complexity</w:t>
            </w:r>
          </w:p>
        </w:tc>
        <w:tc>
          <w:tcPr>
            <w:tcW w:type="dxa" w:w="2268"/>
          </w:tcPr>
          <w:p>
            <w:r/>
            <w:r>
              <w:rPr>
                <w:sz w:val="19"/>
              </w:rPr>
              <w:t>40.4%</w:t>
            </w:r>
          </w:p>
        </w:tc>
        <w:tc>
          <w:tcPr>
            <w:tcW w:type="dxa" w:w="2268"/>
          </w:tcPr>
          <w:p>
            <w:r/>
            <w:r>
              <w:rPr>
                <w:sz w:val="19"/>
              </w:rPr>
              <w:t>79.2%</w:t>
            </w:r>
          </w:p>
        </w:tc>
        <w:tc>
          <w:tcPr>
            <w:tcW w:type="dxa" w:w="2268"/>
          </w:tcPr>
          <w:p>
            <w:r/>
            <w:r>
              <w:rPr>
                <w:sz w:val="19"/>
              </w:rPr>
              <w:t>71.2%</w:t>
            </w:r>
          </w:p>
        </w:tc>
      </w:tr>
    </w:tbl>
    <w:p/>
    <w:p>
      <w:r>
        <w:t>Agreement is the dominant load-bearing signal — removing it collapses coverage from 62.8% to 19.2%. OCR confidence is measurably inert on this clean-text benchmark (identical results with or without it) — investigated directly in Section 13. Contradiction's effect is negligible here. Complexity trades coverage for precision, consistent with its counter-to-hypothesis positive coefficient (Table 1).</w:t>
      </w:r>
    </w:p>
    <w:p>
      <w:pPr>
        <w:pStyle w:val="Heading1"/>
      </w:pPr>
      <w:r>
        <w:t>13. Study: OCR Robustness and EAR Validation</w:t>
      </w:r>
    </w:p>
    <w:p>
      <w:r>
        <w:t>Real, human-verified ground-truth text (15 OHR-Bench documents) was rendered to clean page images, then degraded at three synthetic severities (blur, resolution loss, skew, JPEG compression, noise, contrast reduction) and passed through the project's real production OCR pipeline, including its exact pre-processing. Degradation is synthetic image corruption of real text, not genuine scanner noise — stated as a limitation, not implied otherwise.</w:t>
      </w:r>
    </w:p>
    <w:p>
      <w:pPr>
        <w:pStyle w:val="Heading2"/>
      </w:pPr>
      <w:r>
        <w:t>13.1 Is OCR confidence actually calibrated?</w:t>
      </w:r>
    </w:p>
    <w:p>
      <w:r>
        <w:rPr>
          <w:b/>
          <w:sz w:val="19"/>
        </w:rPr>
        <w:t xml:space="preserve">Table 6. </w:t>
      </w:r>
      <w:r>
        <w:rPr>
          <w:i/>
          <w:color w:val="6B7280"/>
          <w:sz w:val="19"/>
        </w:rPr>
        <w:t>OCR confidence vs. Character Error Rate, 45 degraded observations across 15 documents.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Correlation</w:t>
            </w:r>
          </w:p>
        </w:tc>
        <w:tc>
          <w:tcPr>
            <w:tcW w:type="dxa" w:w="3024"/>
            <w:shd w:val="clear" w:fill="6C5CE7"/>
          </w:tcPr>
          <w:p>
            <w:r/>
            <w:r>
              <w:rPr>
                <w:b/>
                <w:color w:val="FFFFFF"/>
                <w:sz w:val="19"/>
              </w:rPr>
              <w:t>Coefficient</w:t>
            </w:r>
          </w:p>
        </w:tc>
        <w:tc>
          <w:tcPr>
            <w:tcW w:type="dxa" w:w="3024"/>
            <w:shd w:val="clear" w:fill="6C5CE7"/>
          </w:tcPr>
          <w:p>
            <w:r/>
            <w:r>
              <w:rPr>
                <w:b/>
                <w:color w:val="FFFFFF"/>
                <w:sz w:val="19"/>
              </w:rPr>
              <w:t>p-value</w:t>
            </w:r>
          </w:p>
        </w:tc>
      </w:tr>
      <w:tr>
        <w:tc>
          <w:tcPr>
            <w:tcW w:type="dxa" w:w="3024"/>
          </w:tcPr>
          <w:p>
            <w:r/>
            <w:r>
              <w:rPr>
                <w:sz w:val="19"/>
              </w:rPr>
              <w:t>Pearson r (confidence vs. CER)</w:t>
            </w:r>
          </w:p>
        </w:tc>
        <w:tc>
          <w:tcPr>
            <w:tcW w:type="dxa" w:w="3024"/>
          </w:tcPr>
          <w:p>
            <w:r/>
            <w:r>
              <w:rPr>
                <w:sz w:val="19"/>
              </w:rPr>
              <w:t>−0.984</w:t>
            </w:r>
          </w:p>
        </w:tc>
        <w:tc>
          <w:tcPr>
            <w:tcW w:type="dxa" w:w="3024"/>
          </w:tcPr>
          <w:p>
            <w:r/>
            <w:r>
              <w:rPr>
                <w:sz w:val="19"/>
              </w:rPr>
              <w:t>1.4 × 10⁻³⁰</w:t>
            </w:r>
          </w:p>
        </w:tc>
      </w:tr>
      <w:tr>
        <w:tc>
          <w:tcPr>
            <w:tcW w:type="dxa" w:w="3024"/>
          </w:tcPr>
          <w:p>
            <w:r/>
            <w:r>
              <w:rPr>
                <w:sz w:val="19"/>
              </w:rPr>
              <w:t>Spearman ρ</w:t>
            </w:r>
          </w:p>
        </w:tc>
        <w:tc>
          <w:tcPr>
            <w:tcW w:type="dxa" w:w="3024"/>
          </w:tcPr>
          <w:p>
            <w:r/>
            <w:r>
              <w:rPr>
                <w:sz w:val="19"/>
              </w:rPr>
              <w:t>−0.911</w:t>
            </w:r>
          </w:p>
        </w:tc>
        <w:tc>
          <w:tcPr>
            <w:tcW w:type="dxa" w:w="3024"/>
          </w:tcPr>
          <w:p>
            <w:r/>
            <w:r>
              <w:rPr>
                <w:sz w:val="19"/>
              </w:rPr>
              <w:t>1.4 × 10⁻¹⁶</w:t>
            </w:r>
          </w:p>
        </w:tc>
      </w:tr>
    </w:tbl>
    <w:p/>
    <w:p>
      <w:r>
        <w:rPr>
          <w:b/>
          <w:sz w:val="19"/>
        </w:rPr>
        <w:t xml:space="preserve">Table 7. </w:t>
      </w:r>
      <w:r>
        <w:rPr>
          <w:i/>
          <w:color w:val="6B7280"/>
          <w:sz w:val="19"/>
        </w:rPr>
        <w:t>OCR quality by degradation severity.</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Severity</w:t>
            </w:r>
          </w:p>
        </w:tc>
        <w:tc>
          <w:tcPr>
            <w:tcW w:type="dxa" w:w="2268"/>
            <w:shd w:val="clear" w:fill="6C5CE7"/>
          </w:tcPr>
          <w:p>
            <w:r/>
            <w:r>
              <w:rPr>
                <w:b/>
                <w:color w:val="FFFFFF"/>
                <w:sz w:val="19"/>
              </w:rPr>
              <w:t>Mean CER</w:t>
            </w:r>
          </w:p>
        </w:tc>
        <w:tc>
          <w:tcPr>
            <w:tcW w:type="dxa" w:w="2268"/>
            <w:shd w:val="clear" w:fill="6C5CE7"/>
          </w:tcPr>
          <w:p>
            <w:r/>
            <w:r>
              <w:rPr>
                <w:b/>
                <w:color w:val="FFFFFF"/>
                <w:sz w:val="19"/>
              </w:rPr>
              <w:t>Mean WER</w:t>
            </w:r>
          </w:p>
        </w:tc>
        <w:tc>
          <w:tcPr>
            <w:tcW w:type="dxa" w:w="2268"/>
            <w:shd w:val="clear" w:fill="6C5CE7"/>
          </w:tcPr>
          <w:p>
            <w:r/>
            <w:r>
              <w:rPr>
                <w:b/>
                <w:color w:val="FFFFFF"/>
                <w:sz w:val="19"/>
              </w:rPr>
              <w:t>Mean OCR confidence</w:t>
            </w:r>
          </w:p>
        </w:tc>
      </w:tr>
      <w:tr>
        <w:tc>
          <w:tcPr>
            <w:tcW w:type="dxa" w:w="2268"/>
          </w:tcPr>
          <w:p>
            <w:r/>
            <w:r>
              <w:rPr>
                <w:sz w:val="19"/>
              </w:rPr>
              <w:t>mild</w:t>
            </w:r>
          </w:p>
        </w:tc>
        <w:tc>
          <w:tcPr>
            <w:tcW w:type="dxa" w:w="2268"/>
          </w:tcPr>
          <w:p>
            <w:r/>
            <w:r>
              <w:rPr>
                <w:sz w:val="19"/>
              </w:rPr>
              <w:t>2.9%</w:t>
            </w:r>
          </w:p>
        </w:tc>
        <w:tc>
          <w:tcPr>
            <w:tcW w:type="dxa" w:w="2268"/>
          </w:tcPr>
          <w:p>
            <w:r/>
            <w:r>
              <w:rPr>
                <w:sz w:val="19"/>
              </w:rPr>
              <w:t>3.7%</w:t>
            </w:r>
          </w:p>
        </w:tc>
        <w:tc>
          <w:tcPr>
            <w:tcW w:type="dxa" w:w="2268"/>
          </w:tcPr>
          <w:p>
            <w:r/>
            <w:r>
              <w:rPr>
                <w:sz w:val="19"/>
              </w:rPr>
              <w:t>93.4%</w:t>
            </w:r>
          </w:p>
        </w:tc>
      </w:tr>
      <w:tr>
        <w:tc>
          <w:tcPr>
            <w:tcW w:type="dxa" w:w="2268"/>
          </w:tcPr>
          <w:p>
            <w:r/>
            <w:r>
              <w:rPr>
                <w:sz w:val="19"/>
              </w:rPr>
              <w:t>moderate</w:t>
            </w:r>
          </w:p>
        </w:tc>
        <w:tc>
          <w:tcPr>
            <w:tcW w:type="dxa" w:w="2268"/>
          </w:tcPr>
          <w:p>
            <w:r/>
            <w:r>
              <w:rPr>
                <w:sz w:val="19"/>
              </w:rPr>
              <w:t>10.5%</w:t>
            </w:r>
          </w:p>
        </w:tc>
        <w:tc>
          <w:tcPr>
            <w:tcW w:type="dxa" w:w="2268"/>
          </w:tcPr>
          <w:p>
            <w:r/>
            <w:r>
              <w:rPr>
                <w:sz w:val="19"/>
              </w:rPr>
              <w:t>15.9%</w:t>
            </w:r>
          </w:p>
        </w:tc>
        <w:tc>
          <w:tcPr>
            <w:tcW w:type="dxa" w:w="2268"/>
          </w:tcPr>
          <w:p>
            <w:r/>
            <w:r>
              <w:rPr>
                <w:sz w:val="19"/>
              </w:rPr>
              <w:t>87.7%</w:t>
            </w:r>
          </w:p>
        </w:tc>
      </w:tr>
      <w:tr>
        <w:tc>
          <w:tcPr>
            <w:tcW w:type="dxa" w:w="2268"/>
          </w:tcPr>
          <w:p>
            <w:r/>
            <w:r>
              <w:rPr>
                <w:sz w:val="19"/>
              </w:rPr>
              <w:t>severe</w:t>
            </w:r>
          </w:p>
        </w:tc>
        <w:tc>
          <w:tcPr>
            <w:tcW w:type="dxa" w:w="2268"/>
          </w:tcPr>
          <w:p>
            <w:r/>
            <w:r>
              <w:rPr>
                <w:sz w:val="19"/>
              </w:rPr>
              <w:t>87.4%</w:t>
            </w:r>
          </w:p>
        </w:tc>
        <w:tc>
          <w:tcPr>
            <w:tcW w:type="dxa" w:w="2268"/>
          </w:tcPr>
          <w:p>
            <w:r/>
            <w:r>
              <w:rPr>
                <w:sz w:val="19"/>
              </w:rPr>
              <w:t>97.6%</w:t>
            </w:r>
          </w:p>
        </w:tc>
        <w:tc>
          <w:tcPr>
            <w:tcW w:type="dxa" w:w="2268"/>
          </w:tcPr>
          <w:p>
            <w:r/>
            <w:r>
              <w:rPr>
                <w:sz w:val="19"/>
              </w:rPr>
              <w:t>22.4%</w:t>
            </w:r>
          </w:p>
        </w:tc>
      </w:tr>
    </w:tbl>
    <w:p/>
    <w:p>
      <w:r>
        <w:t>Yes, strongly: real Tesseract confidence is empirically well-calibrated against actual character error rate. Retrieval Recall@3 is essentially unaffected by mild/moderate degradation (0.906 → 0.922) but collapses under severe degradation (0.545).</w:t>
      </w:r>
    </w:p>
    <w:p>
      <w:pPr>
        <w:pStyle w:val="Heading2"/>
      </w:pPr>
      <w:r>
        <w:t>13.2 Why EAR still doesn't weight OCR confidence</w:t>
      </w:r>
    </w:p>
    <w:p>
      <w:r>
        <w:t>Recalibrating EAR on a mixed clean+degraded set still produced a near-zero ocr_confidence weight (0.0003). Diagnosis: retrieval was correct in 91–92% of the mild/moderate calibration examples used, leaving the logistic fit almost nothing to discriminate — severe, where failures actually occur, was deliberately held out as an unseen test condition. This is a calibration-design artifact, not evidence the underlying signal is weak (Table 6 shows the opposite).</w:t>
      </w:r>
    </w:p>
    <w:p>
      <w:pPr>
        <w:spacing w:before="80" w:after="160"/>
        <w:ind w:left="360"/>
        <w:pBdr>
          <w:left w:val="single" w:sz="18" w:color="6C5CE7" w:space="4"/>
        </w:pBdr>
      </w:pPr>
      <w:r>
        <w:rPr>
          <w:color w:val="6B7280"/>
          <w:sz w:val="19"/>
        </w:rPr>
        <w:t>Two real pipeline bugs were found and fixed during this study's development — literal LaTeX table markup rendered as unreadable garbage when treated as prose, and PyMuPDF silently rendered a fully blank page (not a truncated one) when text overflowed a text box at the chosen font size. Both are documented in research/OCR_ROBUSTNESS_STUDY.md rather than quietly worked around.</w:t>
      </w:r>
    </w:p>
    <w:p>
      <w:pPr>
        <w:pStyle w:val="Heading1"/>
      </w:pPr>
      <w:r>
        <w:t>14. Study: End-to-End Generation Quality</w:t>
      </w:r>
    </w:p>
    <w:p>
      <w:r>
        <w:t>Prior evaluation in this project was retrieval-only. This study generates real answers — first with a no-cost extractive method, then with a real local LLM (Ollama, llama3.2:latest) once available — and computes every metric family the baseline paper reports.</w:t>
      </w:r>
    </w:p>
    <w:p>
      <w:pPr>
        <w:pStyle w:val="Heading2"/>
      </w:pPr>
      <w:r>
        <w:t>14.1 Extractive-answer path (no LLM)</w:t>
      </w:r>
    </w:p>
    <w:p>
      <w:r>
        <w:rPr>
          <w:b/>
          <w:sz w:val="19"/>
        </w:rPr>
        <w:t xml:space="preserve">Table 8. </w:t>
      </w:r>
      <w:r>
        <w:rPr>
          <w:i/>
          <w:color w:val="6B7280"/>
          <w:sz w:val="19"/>
        </w:rPr>
        <w:t>Extractive-answer metrics, 252-query evaluation split.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Metric</w:t>
            </w:r>
          </w:p>
        </w:tc>
        <w:tc>
          <w:tcPr>
            <w:tcW w:type="dxa" w:w="3024"/>
            <w:shd w:val="clear" w:fill="6C5CE7"/>
          </w:tcPr>
          <w:p>
            <w:r/>
            <w:r>
              <w:rPr>
                <w:b/>
                <w:color w:val="FFFFFF"/>
                <w:sz w:val="19"/>
              </w:rPr>
              <w:t>Baseline (always answer)</w:t>
            </w:r>
          </w:p>
        </w:tc>
        <w:tc>
          <w:tcPr>
            <w:tcW w:type="dxa" w:w="3024"/>
            <w:shd w:val="clear" w:fill="6C5CE7"/>
          </w:tcPr>
          <w:p>
            <w:r/>
            <w:r>
              <w:rPr>
                <w:b/>
                <w:color w:val="FFFFFF"/>
                <w:sz w:val="19"/>
              </w:rPr>
              <w:t>Proposed (EAR-gated)</w:t>
            </w:r>
          </w:p>
        </w:tc>
      </w:tr>
      <w:tr>
        <w:tc>
          <w:tcPr>
            <w:tcW w:type="dxa" w:w="3024"/>
          </w:tcPr>
          <w:p>
            <w:r/>
            <w:r>
              <w:rPr>
                <w:sz w:val="19"/>
              </w:rPr>
              <w:t>Coverage</w:t>
            </w:r>
          </w:p>
        </w:tc>
        <w:tc>
          <w:tcPr>
            <w:tcW w:type="dxa" w:w="3024"/>
          </w:tcPr>
          <w:p>
            <w:r/>
            <w:r>
              <w:rPr>
                <w:sz w:val="19"/>
              </w:rPr>
              <w:t>100% (250/250)</w:t>
            </w:r>
          </w:p>
        </w:tc>
        <w:tc>
          <w:tcPr>
            <w:tcW w:type="dxa" w:w="3024"/>
          </w:tcPr>
          <w:p>
            <w:r/>
            <w:r>
              <w:rPr>
                <w:sz w:val="19"/>
              </w:rPr>
              <w:t>80.4% (201/250)</w:t>
            </w:r>
          </w:p>
        </w:tc>
      </w:tr>
      <w:tr>
        <w:tc>
          <w:tcPr>
            <w:tcW w:type="dxa" w:w="3024"/>
          </w:tcPr>
          <w:p>
            <w:r/>
            <w:r>
              <w:rPr>
                <w:sz w:val="19"/>
              </w:rPr>
              <w:t>Exact Match</w:t>
            </w:r>
          </w:p>
        </w:tc>
        <w:tc>
          <w:tcPr>
            <w:tcW w:type="dxa" w:w="3024"/>
          </w:tcPr>
          <w:p>
            <w:r/>
            <w:r>
              <w:rPr>
                <w:sz w:val="19"/>
              </w:rPr>
              <w:t>0.000</w:t>
            </w:r>
          </w:p>
        </w:tc>
        <w:tc>
          <w:tcPr>
            <w:tcW w:type="dxa" w:w="3024"/>
          </w:tcPr>
          <w:p>
            <w:r/>
            <w:r>
              <w:rPr>
                <w:sz w:val="19"/>
              </w:rPr>
              <w:t>0.000</w:t>
            </w:r>
          </w:p>
        </w:tc>
      </w:tr>
      <w:tr>
        <w:tc>
          <w:tcPr>
            <w:tcW w:type="dxa" w:w="3024"/>
          </w:tcPr>
          <w:p>
            <w:r/>
            <w:r>
              <w:rPr>
                <w:sz w:val="19"/>
              </w:rPr>
              <w:t>Token-F1</w:t>
            </w:r>
          </w:p>
        </w:tc>
        <w:tc>
          <w:tcPr>
            <w:tcW w:type="dxa" w:w="3024"/>
          </w:tcPr>
          <w:p>
            <w:r/>
            <w:r>
              <w:rPr>
                <w:sz w:val="19"/>
              </w:rPr>
              <w:t>0.048</w:t>
            </w:r>
          </w:p>
        </w:tc>
        <w:tc>
          <w:tcPr>
            <w:tcW w:type="dxa" w:w="3024"/>
          </w:tcPr>
          <w:p>
            <w:r/>
            <w:r>
              <w:rPr>
                <w:sz w:val="19"/>
              </w:rPr>
              <w:t>0.050</w:t>
            </w:r>
          </w:p>
        </w:tc>
      </w:tr>
      <w:tr>
        <w:tc>
          <w:tcPr>
            <w:tcW w:type="dxa" w:w="3024"/>
          </w:tcPr>
          <w:p>
            <w:r/>
            <w:r>
              <w:rPr>
                <w:sz w:val="19"/>
              </w:rPr>
              <w:t>BERTScore F1</w:t>
            </w:r>
          </w:p>
        </w:tc>
        <w:tc>
          <w:tcPr>
            <w:tcW w:type="dxa" w:w="3024"/>
          </w:tcPr>
          <w:p>
            <w:r/>
            <w:r>
              <w:rPr>
                <w:sz w:val="19"/>
              </w:rPr>
              <w:t>0.629</w:t>
            </w:r>
          </w:p>
        </w:tc>
        <w:tc>
          <w:tcPr>
            <w:tcW w:type="dxa" w:w="3024"/>
          </w:tcPr>
          <w:p>
            <w:r/>
            <w:r>
              <w:rPr>
                <w:sz w:val="19"/>
              </w:rPr>
              <w:t>0.631</w:t>
            </w:r>
          </w:p>
        </w:tc>
      </w:tr>
      <w:tr>
        <w:tc>
          <w:tcPr>
            <w:tcW w:type="dxa" w:w="3024"/>
          </w:tcPr>
          <w:p>
            <w:r/>
            <w:r>
              <w:rPr>
                <w:sz w:val="19"/>
              </w:rPr>
              <w:t>Numeric accuracy</w:t>
            </w:r>
          </w:p>
        </w:tc>
        <w:tc>
          <w:tcPr>
            <w:tcW w:type="dxa" w:w="3024"/>
          </w:tcPr>
          <w:p>
            <w:r/>
            <w:r>
              <w:rPr>
                <w:sz w:val="19"/>
              </w:rPr>
              <w:t>68.2% (n=85)</w:t>
            </w:r>
          </w:p>
        </w:tc>
        <w:tc>
          <w:tcPr>
            <w:tcW w:type="dxa" w:w="3024"/>
          </w:tcPr>
          <w:p>
            <w:r/>
            <w:r>
              <w:rPr>
                <w:sz w:val="19"/>
              </w:rPr>
              <w:t>73.5% (n=68)</w:t>
            </w:r>
          </w:p>
        </w:tc>
      </w:tr>
      <w:tr>
        <w:tc>
          <w:tcPr>
            <w:tcW w:type="dxa" w:w="3024"/>
          </w:tcPr>
          <w:p>
            <w:r/>
            <w:r>
              <w:rPr>
                <w:sz w:val="19"/>
              </w:rPr>
              <w:t>Citation precision / recall</w:t>
            </w:r>
          </w:p>
        </w:tc>
        <w:tc>
          <w:tcPr>
            <w:tcW w:type="dxa" w:w="3024"/>
          </w:tcPr>
          <w:p>
            <w:r/>
            <w:r>
              <w:rPr>
                <w:sz w:val="19"/>
              </w:rPr>
              <w:t>43.8% / 34.7%</w:t>
            </w:r>
          </w:p>
        </w:tc>
        <w:tc>
          <w:tcPr>
            <w:tcW w:type="dxa" w:w="3024"/>
          </w:tcPr>
          <w:p>
            <w:r/>
            <w:r>
              <w:rPr>
                <w:sz w:val="19"/>
              </w:rPr>
              <w:t>48.2% / 38.2%</w:t>
            </w:r>
          </w:p>
        </w:tc>
      </w:tr>
    </w:tbl>
    <w:p/>
    <w:p>
      <w:pPr>
        <w:spacing w:before="80" w:after="160"/>
        <w:ind w:left="360"/>
        <w:pBdr>
          <w:left w:val="single" w:sz="18" w:color="6C5CE7" w:space="4"/>
        </w:pBdr>
      </w:pPr>
      <w:r>
        <w:rPr>
          <w:color w:val="6B7280"/>
          <w:sz w:val="19"/>
        </w:rPr>
        <w:t>Exact Match is 0.000 for both conditions — a metric/answer-format mismatch (long extractive passages vs. terse gold answers), confirmed by a 20-question manual review: 8/20 (40%) of EM-scored-wrong answers actually contained the correct fact. Automatic EM agreed with manual judgment on only 60% of sampled cases, always in the direction of calling correct answers wrong — reported as a measured evaluator-reliability finding, not assumed.</w:t>
      </w:r>
    </w:p>
    <w:p>
      <w:pPr>
        <w:pStyle w:val="Heading2"/>
      </w:pPr>
      <w:r>
        <w:t>14.2 Local-LLM generation path + real RAGAS metrics</w:t>
      </w:r>
    </w:p>
    <w:p>
      <w:r>
        <w:t>60 stratified queries (10/domain), real answers from llama3.2:latest, all five RAGAS-style metrics from this project's own implementation (Section 10), judged by the same local model after a smaller 1B model was found to misjudge faithfulness even at temperature 0 and was replaced.</w:t>
      </w:r>
    </w:p>
    <w:p>
      <w:r>
        <w:rPr>
          <w:b/>
          <w:sz w:val="19"/>
        </w:rPr>
        <w:t xml:space="preserve">Table 9. </w:t>
      </w:r>
      <w:r>
        <w:rPr>
          <w:i/>
          <w:color w:val="6B7280"/>
          <w:sz w:val="19"/>
        </w:rPr>
        <w:t>RAGAS-style metrics, 60-query sample, local LLM generator and judge.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Metric</w:t>
            </w:r>
          </w:p>
        </w:tc>
        <w:tc>
          <w:tcPr>
            <w:tcW w:type="dxa" w:w="2268"/>
            <w:shd w:val="clear" w:fill="6C5CE7"/>
          </w:tcPr>
          <w:p>
            <w:r/>
            <w:r>
              <w:rPr>
                <w:b/>
                <w:color w:val="FFFFFF"/>
                <w:sz w:val="19"/>
              </w:rPr>
              <w:t>Baseline</w:t>
            </w:r>
          </w:p>
        </w:tc>
        <w:tc>
          <w:tcPr>
            <w:tcW w:type="dxa" w:w="2268"/>
            <w:shd w:val="clear" w:fill="6C5CE7"/>
          </w:tcPr>
          <w:p>
            <w:r/>
            <w:r>
              <w:rPr>
                <w:b/>
                <w:color w:val="FFFFFF"/>
                <w:sz w:val="19"/>
              </w:rPr>
              <w:t>Proposed (EAR-gated)</w:t>
            </w:r>
          </w:p>
        </w:tc>
        <w:tc>
          <w:tcPr>
            <w:tcW w:type="dxa" w:w="2268"/>
            <w:shd w:val="clear" w:fill="6C5CE7"/>
          </w:tcPr>
          <w:p>
            <w:r/>
            <w:r>
              <w:rPr>
                <w:b/>
                <w:color w:val="FFFFFF"/>
                <w:sz w:val="19"/>
              </w:rPr>
              <w:t>Δ</w:t>
            </w:r>
          </w:p>
        </w:tc>
      </w:tr>
      <w:tr>
        <w:tc>
          <w:tcPr>
            <w:tcW w:type="dxa" w:w="2268"/>
          </w:tcPr>
          <w:p>
            <w:r/>
            <w:r>
              <w:rPr>
                <w:sz w:val="19"/>
              </w:rPr>
              <w:t>Faithfulness</w:t>
            </w:r>
          </w:p>
        </w:tc>
        <w:tc>
          <w:tcPr>
            <w:tcW w:type="dxa" w:w="2268"/>
          </w:tcPr>
          <w:p>
            <w:r/>
            <w:r>
              <w:rPr>
                <w:sz w:val="19"/>
              </w:rPr>
              <w:t>0.514</w:t>
            </w:r>
          </w:p>
        </w:tc>
        <w:tc>
          <w:tcPr>
            <w:tcW w:type="dxa" w:w="2268"/>
          </w:tcPr>
          <w:p>
            <w:r/>
            <w:r>
              <w:rPr>
                <w:sz w:val="19"/>
              </w:rPr>
              <w:t>0.619</w:t>
            </w:r>
          </w:p>
        </w:tc>
        <w:tc>
          <w:tcPr>
            <w:tcW w:type="dxa" w:w="2268"/>
          </w:tcPr>
          <w:p>
            <w:r/>
            <w:r>
              <w:rPr>
                <w:sz w:val="19"/>
              </w:rPr>
              <w:t>+10.5 pts</w:t>
            </w:r>
          </w:p>
        </w:tc>
      </w:tr>
      <w:tr>
        <w:tc>
          <w:tcPr>
            <w:tcW w:type="dxa" w:w="2268"/>
          </w:tcPr>
          <w:p>
            <w:r/>
            <w:r>
              <w:rPr>
                <w:sz w:val="19"/>
              </w:rPr>
              <w:t>Answer Relevancy</w:t>
            </w:r>
          </w:p>
        </w:tc>
        <w:tc>
          <w:tcPr>
            <w:tcW w:type="dxa" w:w="2268"/>
          </w:tcPr>
          <w:p>
            <w:r/>
            <w:r>
              <w:rPr>
                <w:sz w:val="19"/>
              </w:rPr>
              <w:t>0.700</w:t>
            </w:r>
          </w:p>
        </w:tc>
        <w:tc>
          <w:tcPr>
            <w:tcW w:type="dxa" w:w="2268"/>
          </w:tcPr>
          <w:p>
            <w:r/>
            <w:r>
              <w:rPr>
                <w:sz w:val="19"/>
              </w:rPr>
              <w:t>0.704</w:t>
            </w:r>
          </w:p>
        </w:tc>
        <w:tc>
          <w:tcPr>
            <w:tcW w:type="dxa" w:w="2268"/>
          </w:tcPr>
          <w:p>
            <w:r/>
            <w:r>
              <w:rPr>
                <w:sz w:val="19"/>
              </w:rPr>
              <w:t>+0.4 pts</w:t>
            </w:r>
          </w:p>
        </w:tc>
      </w:tr>
      <w:tr>
        <w:tc>
          <w:tcPr>
            <w:tcW w:type="dxa" w:w="2268"/>
          </w:tcPr>
          <w:p>
            <w:r/>
            <w:r>
              <w:rPr>
                <w:sz w:val="19"/>
              </w:rPr>
              <w:t>Context Precision</w:t>
            </w:r>
          </w:p>
        </w:tc>
        <w:tc>
          <w:tcPr>
            <w:tcW w:type="dxa" w:w="2268"/>
          </w:tcPr>
          <w:p>
            <w:r/>
            <w:r>
              <w:rPr>
                <w:sz w:val="19"/>
              </w:rPr>
              <w:t>0.721</w:t>
            </w:r>
          </w:p>
        </w:tc>
        <w:tc>
          <w:tcPr>
            <w:tcW w:type="dxa" w:w="2268"/>
          </w:tcPr>
          <w:p>
            <w:r/>
            <w:r>
              <w:rPr>
                <w:sz w:val="19"/>
              </w:rPr>
              <w:t>0.767</w:t>
            </w:r>
          </w:p>
        </w:tc>
        <w:tc>
          <w:tcPr>
            <w:tcW w:type="dxa" w:w="2268"/>
          </w:tcPr>
          <w:p>
            <w:r/>
            <w:r>
              <w:rPr>
                <w:sz w:val="19"/>
              </w:rPr>
              <w:t>+4.6 pts</w:t>
            </w:r>
          </w:p>
        </w:tc>
      </w:tr>
      <w:tr>
        <w:tc>
          <w:tcPr>
            <w:tcW w:type="dxa" w:w="2268"/>
          </w:tcPr>
          <w:p>
            <w:r/>
            <w:r>
              <w:rPr>
                <w:sz w:val="19"/>
              </w:rPr>
              <w:t>Context Recall</w:t>
            </w:r>
          </w:p>
        </w:tc>
        <w:tc>
          <w:tcPr>
            <w:tcW w:type="dxa" w:w="2268"/>
          </w:tcPr>
          <w:p>
            <w:r/>
            <w:r>
              <w:rPr>
                <w:sz w:val="19"/>
              </w:rPr>
              <w:t>0.410</w:t>
            </w:r>
          </w:p>
        </w:tc>
        <w:tc>
          <w:tcPr>
            <w:tcW w:type="dxa" w:w="2268"/>
          </w:tcPr>
          <w:p>
            <w:r/>
            <w:r>
              <w:rPr>
                <w:sz w:val="19"/>
              </w:rPr>
              <w:t>0.435</w:t>
            </w:r>
          </w:p>
        </w:tc>
        <w:tc>
          <w:tcPr>
            <w:tcW w:type="dxa" w:w="2268"/>
          </w:tcPr>
          <w:p>
            <w:r/>
            <w:r>
              <w:rPr>
                <w:sz w:val="19"/>
              </w:rPr>
              <w:t>+2.5 pts</w:t>
            </w:r>
          </w:p>
        </w:tc>
      </w:tr>
      <w:tr>
        <w:tc>
          <w:tcPr>
            <w:tcW w:type="dxa" w:w="2268"/>
          </w:tcPr>
          <w:p>
            <w:r/>
            <w:r>
              <w:rPr>
                <w:sz w:val="19"/>
              </w:rPr>
              <w:t>Harmfulness</w:t>
            </w:r>
          </w:p>
        </w:tc>
        <w:tc>
          <w:tcPr>
            <w:tcW w:type="dxa" w:w="2268"/>
          </w:tcPr>
          <w:p>
            <w:r/>
            <w:r>
              <w:rPr>
                <w:sz w:val="19"/>
              </w:rPr>
              <w:t>0.000</w:t>
            </w:r>
          </w:p>
        </w:tc>
        <w:tc>
          <w:tcPr>
            <w:tcW w:type="dxa" w:w="2268"/>
          </w:tcPr>
          <w:p>
            <w:r/>
            <w:r>
              <w:rPr>
                <w:sz w:val="19"/>
              </w:rPr>
              <w:t>0.000</w:t>
            </w:r>
          </w:p>
        </w:tc>
        <w:tc>
          <w:tcPr>
            <w:tcW w:type="dxa" w:w="2268"/>
          </w:tcPr>
          <w:p>
            <w:r/>
            <w:r>
              <w:rPr>
                <w:sz w:val="19"/>
              </w:rPr>
              <w:t>—</w:t>
            </w:r>
          </w:p>
        </w:tc>
      </w:tr>
    </w:tbl>
    <w:p/>
    <w:p>
      <w:r>
        <w:t>This is the clearest direct evidence that EAR works as intended on generated answers: restricting generation to EAR's confident decisions measurably improves Faithfulness, Context Precision, and Context Recall. Token-F1 (0.209 baseline) is far higher than the extractive path's 0.048, consistent with the earlier metric-mismatch diagnosis. Numeric accuracy and citation recall were lower under EAR-gating in this run — reported as found, with a stated, untested hypothesis (evidence dilution from the expand_retrieval branch's larger candidate pool).</w:t>
      </w:r>
    </w:p>
    <w:p>
      <w:pPr>
        <w:pStyle w:val="Heading1"/>
      </w:pPr>
      <w:r>
        <w:t>15. Study: RVQ Recall Gap Analysis</w:t>
      </w:r>
    </w:p>
    <w:p>
      <w:pPr>
        <w:pStyle w:val="Heading2"/>
      </w:pPr>
      <w:r>
        <w:t>15.1 Root cause</w:t>
      </w:r>
    </w:p>
    <w:p>
      <w:r>
        <w:t>For every (query, gold chunk) pair where exact dense retrieval found the gold chunk at k=5 but RVQ-quantized retrieval did not ("lost to quantization"), reconstruction cosine similarity (Equation 12) was compared against chunks that were not lost.</w:t>
      </w:r>
    </w:p>
    <w:p>
      <w:r>
        <w:rPr>
          <w:b/>
          <w:sz w:val="19"/>
        </w:rPr>
        <w:t xml:space="preserve">Table 10. </w:t>
      </w:r>
      <w:r>
        <w:rPr>
          <w:i/>
          <w:color w:val="6B7280"/>
          <w:sz w:val="19"/>
        </w:rPr>
        <w:t>Welch's t-test: t = −4.71, p = 3.5 × 10⁻⁶ — the difference is highly significant.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Group</w:t>
            </w:r>
          </w:p>
        </w:tc>
        <w:tc>
          <w:tcPr>
            <w:tcW w:type="dxa" w:w="3024"/>
            <w:shd w:val="clear" w:fill="6C5CE7"/>
          </w:tcPr>
          <w:p>
            <w:r/>
            <w:r>
              <w:rPr>
                <w:b/>
                <w:color w:val="FFFFFF"/>
                <w:sz w:val="19"/>
              </w:rPr>
              <w:t>n</w:t>
            </w:r>
          </w:p>
        </w:tc>
        <w:tc>
          <w:tcPr>
            <w:tcW w:type="dxa" w:w="3024"/>
            <w:shd w:val="clear" w:fill="6C5CE7"/>
          </w:tcPr>
          <w:p>
            <w:r/>
            <w:r>
              <w:rPr>
                <w:b/>
                <w:color w:val="FFFFFF"/>
                <w:sz w:val="19"/>
              </w:rPr>
              <w:t>Mean reconstruction cosine</w:t>
            </w:r>
          </w:p>
        </w:tc>
      </w:tr>
      <w:tr>
        <w:tc>
          <w:tcPr>
            <w:tcW w:type="dxa" w:w="3024"/>
          </w:tcPr>
          <w:p>
            <w:r/>
            <w:r>
              <w:rPr>
                <w:sz w:val="19"/>
              </w:rPr>
              <w:t>Lost to quantization</w:t>
            </w:r>
          </w:p>
        </w:tc>
        <w:tc>
          <w:tcPr>
            <w:tcW w:type="dxa" w:w="3024"/>
          </w:tcPr>
          <w:p>
            <w:r/>
            <w:r>
              <w:rPr>
                <w:sz w:val="19"/>
              </w:rPr>
              <w:t>276</w:t>
            </w:r>
          </w:p>
        </w:tc>
        <w:tc>
          <w:tcPr>
            <w:tcW w:type="dxa" w:w="3024"/>
          </w:tcPr>
          <w:p>
            <w:r/>
            <w:r>
              <w:rPr>
                <w:sz w:val="19"/>
              </w:rPr>
              <w:t>0.621</w:t>
            </w:r>
          </w:p>
        </w:tc>
      </w:tr>
      <w:tr>
        <w:tc>
          <w:tcPr>
            <w:tcW w:type="dxa" w:w="3024"/>
          </w:tcPr>
          <w:p>
            <w:r/>
            <w:r>
              <w:rPr>
                <w:sz w:val="19"/>
              </w:rPr>
              <w:t>Not lost</w:t>
            </w:r>
          </w:p>
        </w:tc>
        <w:tc>
          <w:tcPr>
            <w:tcW w:type="dxa" w:w="3024"/>
          </w:tcPr>
          <w:p>
            <w:r/>
            <w:r>
              <w:rPr>
                <w:sz w:val="19"/>
              </w:rPr>
              <w:t>1,219</w:t>
            </w:r>
          </w:p>
        </w:tc>
        <w:tc>
          <w:tcPr>
            <w:tcW w:type="dxa" w:w="3024"/>
          </w:tcPr>
          <w:p>
            <w:r/>
            <w:r>
              <w:rPr>
                <w:sz w:val="19"/>
              </w:rPr>
              <w:t>0.671</w:t>
            </w:r>
          </w:p>
        </w:tc>
      </w:tr>
      <w:tr>
        <w:tc>
          <w:tcPr>
            <w:tcW w:type="dxa" w:w="3024"/>
          </w:tcPr>
          <w:p>
            <w:r/>
            <w:r>
              <w:rPr>
                <w:sz w:val="19"/>
              </w:rPr>
              <w:t>Corpus-wide average</w:t>
            </w:r>
          </w:p>
        </w:tc>
        <w:tc>
          <w:tcPr>
            <w:tcW w:type="dxa" w:w="3024"/>
          </w:tcPr>
          <w:p>
            <w:r/>
            <w:r>
              <w:rPr>
                <w:sz w:val="19"/>
              </w:rPr>
              <w:t>16,076</w:t>
            </w:r>
          </w:p>
        </w:tc>
        <w:tc>
          <w:tcPr>
            <w:tcW w:type="dxa" w:w="3024"/>
          </w:tcPr>
          <w:p>
            <w:r/>
            <w:r>
              <w:rPr>
                <w:sz w:val="19"/>
              </w:rPr>
              <w:t>0.761</w:t>
            </w:r>
          </w:p>
        </w:tc>
      </w:tr>
    </w:tbl>
    <w:p/>
    <w:p>
      <w:pPr>
        <w:pStyle w:val="Heading2"/>
      </w:pPr>
      <w:r>
        <w:t>15.2 Candidate fix and measured tradeoff</w:t>
      </w:r>
    </w:p>
    <w:p>
      <w:r>
        <w:rPr>
          <w:b/>
          <w:sz w:val="19"/>
        </w:rPr>
        <w:t xml:space="preserve">Table 11. </w:t>
      </w:r>
      <w:r>
        <w:rPr>
          <w:i/>
          <w:color w:val="6B7280"/>
          <w:sz w:val="19"/>
        </w:rPr>
        <w:t>RVQ quantize-then-exact-rerank recovers 79% of lost Recall@5 at statistically the same latency as plain quantized search.</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6C5CE7"/>
          </w:tcPr>
          <w:p>
            <w:r/>
            <w:r>
              <w:rPr>
                <w:b/>
                <w:color w:val="FFFFFF"/>
                <w:sz w:val="19"/>
              </w:rPr>
              <w:t>Config</w:t>
            </w:r>
          </w:p>
        </w:tc>
        <w:tc>
          <w:tcPr>
            <w:tcW w:type="dxa" w:w="1814"/>
            <w:shd w:val="clear" w:fill="6C5CE7"/>
          </w:tcPr>
          <w:p>
            <w:r/>
            <w:r>
              <w:rPr>
                <w:b/>
                <w:color w:val="FFFFFF"/>
                <w:sz w:val="19"/>
              </w:rPr>
              <w:t>Recall@5</w:t>
            </w:r>
          </w:p>
        </w:tc>
        <w:tc>
          <w:tcPr>
            <w:tcW w:type="dxa" w:w="1814"/>
            <w:shd w:val="clear" w:fill="6C5CE7"/>
          </w:tcPr>
          <w:p>
            <w:r/>
            <w:r>
              <w:rPr>
                <w:b/>
                <w:color w:val="FFFFFF"/>
                <w:sz w:val="19"/>
              </w:rPr>
              <w:t>MRR@5</w:t>
            </w:r>
          </w:p>
        </w:tc>
        <w:tc>
          <w:tcPr>
            <w:tcW w:type="dxa" w:w="1814"/>
            <w:shd w:val="clear" w:fill="6C5CE7"/>
          </w:tcPr>
          <w:p>
            <w:r/>
            <w:r>
              <w:rPr>
                <w:b/>
                <w:color w:val="FFFFFF"/>
                <w:sz w:val="19"/>
              </w:rPr>
              <w:t>nDCG@5</w:t>
            </w:r>
          </w:p>
        </w:tc>
        <w:tc>
          <w:tcPr>
            <w:tcW w:type="dxa" w:w="1814"/>
            <w:shd w:val="clear" w:fill="6C5CE7"/>
          </w:tcPr>
          <w:p>
            <w:r/>
            <w:r>
              <w:rPr>
                <w:b/>
                <w:color w:val="FFFFFF"/>
                <w:sz w:val="19"/>
              </w:rPr>
              <w:t>Latency (mean)</w:t>
            </w:r>
          </w:p>
        </w:tc>
      </w:tr>
      <w:tr>
        <w:tc>
          <w:tcPr>
            <w:tcW w:type="dxa" w:w="1814"/>
          </w:tcPr>
          <w:p>
            <w:r/>
            <w:r>
              <w:rPr>
                <w:sz w:val="19"/>
              </w:rPr>
              <w:t>Exact dense (no quantization)</w:t>
            </w:r>
          </w:p>
        </w:tc>
        <w:tc>
          <w:tcPr>
            <w:tcW w:type="dxa" w:w="1814"/>
          </w:tcPr>
          <w:p>
            <w:r/>
            <w:r>
              <w:rPr>
                <w:sz w:val="19"/>
              </w:rPr>
              <w:t>0.378</w:t>
            </w:r>
          </w:p>
        </w:tc>
        <w:tc>
          <w:tcPr>
            <w:tcW w:type="dxa" w:w="1814"/>
          </w:tcPr>
          <w:p>
            <w:r/>
            <w:r>
              <w:rPr>
                <w:sz w:val="19"/>
              </w:rPr>
              <w:t>0.726</w:t>
            </w:r>
          </w:p>
        </w:tc>
        <w:tc>
          <w:tcPr>
            <w:tcW w:type="dxa" w:w="1814"/>
          </w:tcPr>
          <w:p>
            <w:r/>
            <w:r>
              <w:rPr>
                <w:sz w:val="19"/>
              </w:rPr>
              <w:t>0.477</w:t>
            </w:r>
          </w:p>
        </w:tc>
        <w:tc>
          <w:tcPr>
            <w:tcW w:type="dxa" w:w="1814"/>
          </w:tcPr>
          <w:p>
            <w:r/>
            <w:r>
              <w:rPr>
                <w:sz w:val="19"/>
              </w:rPr>
              <w:t>48.3 ms</w:t>
            </w:r>
          </w:p>
        </w:tc>
      </w:tr>
      <w:tr>
        <w:tc>
          <w:tcPr>
            <w:tcW w:type="dxa" w:w="1814"/>
          </w:tcPr>
          <w:p>
            <w:r/>
            <w:r>
              <w:rPr>
                <w:sz w:val="19"/>
              </w:rPr>
              <w:t>RVQ quantized (current, no rerank)</w:t>
            </w:r>
          </w:p>
        </w:tc>
        <w:tc>
          <w:tcPr>
            <w:tcW w:type="dxa" w:w="1814"/>
          </w:tcPr>
          <w:p>
            <w:r/>
            <w:r>
              <w:rPr>
                <w:sz w:val="19"/>
              </w:rPr>
              <w:t>0.161</w:t>
            </w:r>
          </w:p>
        </w:tc>
        <w:tc>
          <w:tcPr>
            <w:tcW w:type="dxa" w:w="1814"/>
          </w:tcPr>
          <w:p>
            <w:r/>
            <w:r>
              <w:rPr>
                <w:sz w:val="19"/>
              </w:rPr>
              <w:t>0.276</w:t>
            </w:r>
          </w:p>
        </w:tc>
        <w:tc>
          <w:tcPr>
            <w:tcW w:type="dxa" w:w="1814"/>
          </w:tcPr>
          <w:p>
            <w:r/>
            <w:r>
              <w:rPr>
                <w:sz w:val="19"/>
              </w:rPr>
              <w:t>0.181</w:t>
            </w:r>
          </w:p>
        </w:tc>
        <w:tc>
          <w:tcPr>
            <w:tcW w:type="dxa" w:w="1814"/>
          </w:tcPr>
          <w:p>
            <w:r/>
            <w:r>
              <w:rPr>
                <w:sz w:val="19"/>
              </w:rPr>
              <w:t>12.9 ms</w:t>
            </w:r>
          </w:p>
        </w:tc>
      </w:tr>
      <w:tr>
        <w:tc>
          <w:tcPr>
            <w:tcW w:type="dxa" w:w="1814"/>
          </w:tcPr>
          <w:p>
            <w:r/>
            <w:r>
              <w:rPr>
                <w:sz w:val="19"/>
              </w:rPr>
              <w:t>RVQ quantized + exact rerank (fix)</w:t>
            </w:r>
          </w:p>
        </w:tc>
        <w:tc>
          <w:tcPr>
            <w:tcW w:type="dxa" w:w="1814"/>
          </w:tcPr>
          <w:p>
            <w:r/>
            <w:r>
              <w:rPr>
                <w:sz w:val="19"/>
              </w:rPr>
              <w:t>0.301</w:t>
            </w:r>
          </w:p>
        </w:tc>
        <w:tc>
          <w:tcPr>
            <w:tcW w:type="dxa" w:w="1814"/>
          </w:tcPr>
          <w:p>
            <w:r/>
            <w:r>
              <w:rPr>
                <w:sz w:val="19"/>
              </w:rPr>
              <w:t>0.611</w:t>
            </w:r>
          </w:p>
        </w:tc>
        <w:tc>
          <w:tcPr>
            <w:tcW w:type="dxa" w:w="1814"/>
          </w:tcPr>
          <w:p>
            <w:r/>
            <w:r>
              <w:rPr>
                <w:sz w:val="19"/>
              </w:rPr>
              <w:t>0.389</w:t>
            </w:r>
          </w:p>
        </w:tc>
        <w:tc>
          <w:tcPr>
            <w:tcW w:type="dxa" w:w="1814"/>
          </w:tcPr>
          <w:p>
            <w:r/>
            <w:r>
              <w:rPr>
                <w:sz w:val="19"/>
              </w:rPr>
              <w:t>13.0 ms</w:t>
            </w:r>
          </w:p>
        </w:tc>
      </w:tr>
      <w:tr>
        <w:tc>
          <w:tcPr>
            <w:tcW w:type="dxa" w:w="1814"/>
          </w:tcPr>
          <w:p>
            <w:r/>
            <w:r>
              <w:rPr>
                <w:sz w:val="19"/>
              </w:rPr>
              <w:t>Hybrid RRF (context)</w:t>
            </w:r>
          </w:p>
        </w:tc>
        <w:tc>
          <w:tcPr>
            <w:tcW w:type="dxa" w:w="1814"/>
          </w:tcPr>
          <w:p>
            <w:r/>
            <w:r>
              <w:rPr>
                <w:sz w:val="19"/>
              </w:rPr>
              <w:t>0.407</w:t>
            </w:r>
          </w:p>
        </w:tc>
        <w:tc>
          <w:tcPr>
            <w:tcW w:type="dxa" w:w="1814"/>
          </w:tcPr>
          <w:p>
            <w:r/>
            <w:r>
              <w:rPr>
                <w:sz w:val="19"/>
              </w:rPr>
              <w:t>0.780</w:t>
            </w:r>
          </w:p>
        </w:tc>
        <w:tc>
          <w:tcPr>
            <w:tcW w:type="dxa" w:w="1814"/>
          </w:tcPr>
          <w:p>
            <w:r/>
            <w:r>
              <w:rPr>
                <w:sz w:val="19"/>
              </w:rPr>
              <w:t>0.515</w:t>
            </w:r>
          </w:p>
        </w:tc>
        <w:tc>
          <w:tcPr>
            <w:tcW w:type="dxa" w:w="1814"/>
          </w:tcPr>
          <w:p>
            <w:r/>
            <w:r>
              <w:rPr>
                <w:sz w:val="19"/>
              </w:rPr>
              <w:t>53.6 ms</w:t>
            </w:r>
          </w:p>
        </w:tc>
      </w:tr>
    </w:tbl>
    <w:p/>
    <w:p>
      <w:pPr>
        <w:spacing w:before="80" w:after="160"/>
        <w:ind w:left="360"/>
        <w:pBdr>
          <w:left w:val="single" w:sz="18" w:color="6C5CE7" w:space="4"/>
        </w:pBdr>
      </w:pPr>
      <w:r>
        <w:rPr>
          <w:color w:val="6B7280"/>
          <w:sz w:val="19"/>
        </w:rPr>
        <w:t>The tested fix still keeps the full exact float32 matrix resident in memory for the rerank step — it validates the recall/latency tradeoff, not the storage-savings claim that motivates RVQ in the first place, which was not independently verified.</w:t>
      </w:r>
    </w:p>
    <w:p>
      <w:pPr>
        <w:pStyle w:val="Heading1"/>
      </w:pPr>
      <w:r>
        <w:t>16. Study: NDSU Substitute-Data Reproduction</w:t>
      </w:r>
    </w:p>
    <w:p>
      <w:r>
        <w:t>Saha et al. 2024's private NDSU corpus cannot be reproduced. This study implements their exact baseline (Traditional RAG = this project's Dense-only, already identical) and a faithful-as-available reproduction of their question-matching mechanism on a disjoint 70-QA-pair substitute dataset (OHR-Bench manual + textbook domains — the closest available local analog to NDSU's institutional/procedural content).</w:t>
      </w:r>
    </w:p>
    <w:p>
      <w:r>
        <w:rPr>
          <w:b/>
          <w:sz w:val="19"/>
        </w:rPr>
        <w:t xml:space="preserve">Table 12. </w:t>
      </w:r>
      <w:r>
        <w:rPr>
          <w:i/>
          <w:color w:val="6B7280"/>
          <w:sz w:val="19"/>
        </w:rPr>
        <w:t>Substitute-data retrieval comparison, 70 queries — internally comparable, NOT comparable to the paper's published Table 2 numbers (different corpus, embedding model, and question generator).</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Config</w:t>
            </w:r>
          </w:p>
        </w:tc>
        <w:tc>
          <w:tcPr>
            <w:tcW w:type="dxa" w:w="2268"/>
            <w:shd w:val="clear" w:fill="6C5CE7"/>
          </w:tcPr>
          <w:p>
            <w:r/>
            <w:r>
              <w:rPr>
                <w:b/>
                <w:color w:val="FFFFFF"/>
                <w:sz w:val="19"/>
              </w:rPr>
              <w:t>Recall@5</w:t>
            </w:r>
          </w:p>
        </w:tc>
        <w:tc>
          <w:tcPr>
            <w:tcW w:type="dxa" w:w="2268"/>
            <w:shd w:val="clear" w:fill="6C5CE7"/>
          </w:tcPr>
          <w:p>
            <w:r/>
            <w:r>
              <w:rPr>
                <w:b/>
                <w:color w:val="FFFFFF"/>
                <w:sz w:val="19"/>
              </w:rPr>
              <w:t>MRR@5</w:t>
            </w:r>
          </w:p>
        </w:tc>
        <w:tc>
          <w:tcPr>
            <w:tcW w:type="dxa" w:w="2268"/>
            <w:shd w:val="clear" w:fill="6C5CE7"/>
          </w:tcPr>
          <w:p>
            <w:r/>
            <w:r>
              <w:rPr>
                <w:b/>
                <w:color w:val="FFFFFF"/>
                <w:sz w:val="19"/>
              </w:rPr>
              <w:t>nDCG@5</w:t>
            </w:r>
          </w:p>
        </w:tc>
      </w:tr>
      <w:tr>
        <w:tc>
          <w:tcPr>
            <w:tcW w:type="dxa" w:w="2268"/>
          </w:tcPr>
          <w:p>
            <w:r/>
            <w:r>
              <w:rPr>
                <w:sz w:val="19"/>
              </w:rPr>
              <w:t>Traditional RAG (paper's baseline)</w:t>
            </w:r>
          </w:p>
        </w:tc>
        <w:tc>
          <w:tcPr>
            <w:tcW w:type="dxa" w:w="2268"/>
          </w:tcPr>
          <w:p>
            <w:r/>
            <w:r>
              <w:rPr>
                <w:sz w:val="19"/>
              </w:rPr>
              <w:t>0.710</w:t>
            </w:r>
          </w:p>
        </w:tc>
        <w:tc>
          <w:tcPr>
            <w:tcW w:type="dxa" w:w="2268"/>
          </w:tcPr>
          <w:p>
            <w:r/>
            <w:r>
              <w:rPr>
                <w:sz w:val="19"/>
              </w:rPr>
              <w:t>0.815</w:t>
            </w:r>
          </w:p>
        </w:tc>
        <w:tc>
          <w:tcPr>
            <w:tcW w:type="dxa" w:w="2268"/>
          </w:tcPr>
          <w:p>
            <w:r/>
            <w:r>
              <w:rPr>
                <w:sz w:val="19"/>
              </w:rPr>
              <w:t>0.713</w:t>
            </w:r>
          </w:p>
        </w:tc>
      </w:tr>
      <w:tr>
        <w:tc>
          <w:tcPr>
            <w:tcW w:type="dxa" w:w="2268"/>
          </w:tcPr>
          <w:p>
            <w:r/>
            <w:r>
              <w:rPr>
                <w:sz w:val="19"/>
              </w:rPr>
              <w:t>QuIM-style (reproduction)</w:t>
            </w:r>
          </w:p>
        </w:tc>
        <w:tc>
          <w:tcPr>
            <w:tcW w:type="dxa" w:w="2268"/>
          </w:tcPr>
          <w:p>
            <w:r/>
            <w:r>
              <w:rPr>
                <w:sz w:val="19"/>
              </w:rPr>
              <w:t>0.344</w:t>
            </w:r>
          </w:p>
        </w:tc>
        <w:tc>
          <w:tcPr>
            <w:tcW w:type="dxa" w:w="2268"/>
          </w:tcPr>
          <w:p>
            <w:r/>
            <w:r>
              <w:rPr>
                <w:sz w:val="19"/>
              </w:rPr>
              <w:t>0.459</w:t>
            </w:r>
          </w:p>
        </w:tc>
        <w:tc>
          <w:tcPr>
            <w:tcW w:type="dxa" w:w="2268"/>
          </w:tcPr>
          <w:p>
            <w:r/>
            <w:r>
              <w:rPr>
                <w:sz w:val="19"/>
              </w:rPr>
              <w:t>0.341</w:t>
            </w:r>
          </w:p>
        </w:tc>
      </w:tr>
      <w:tr>
        <w:tc>
          <w:tcPr>
            <w:tcW w:type="dxa" w:w="2268"/>
          </w:tcPr>
          <w:p>
            <w:r/>
            <w:r>
              <w:rPr>
                <w:sz w:val="19"/>
              </w:rPr>
              <w:t>This project: Hybrid RRF</w:t>
            </w:r>
          </w:p>
        </w:tc>
        <w:tc>
          <w:tcPr>
            <w:tcW w:type="dxa" w:w="2268"/>
          </w:tcPr>
          <w:p>
            <w:r/>
            <w:r>
              <w:rPr>
                <w:sz w:val="19"/>
              </w:rPr>
              <w:t>0.705</w:t>
            </w:r>
          </w:p>
        </w:tc>
        <w:tc>
          <w:tcPr>
            <w:tcW w:type="dxa" w:w="2268"/>
          </w:tcPr>
          <w:p>
            <w:r/>
            <w:r>
              <w:rPr>
                <w:sz w:val="19"/>
              </w:rPr>
              <w:t>0.879</w:t>
            </w:r>
          </w:p>
        </w:tc>
        <w:tc>
          <w:tcPr>
            <w:tcW w:type="dxa" w:w="2268"/>
          </w:tcPr>
          <w:p>
            <w:r/>
            <w:r>
              <w:rPr>
                <w:sz w:val="19"/>
              </w:rPr>
              <w:t>0.732</w:t>
            </w:r>
          </w:p>
        </w:tc>
      </w:tr>
    </w:tbl>
    <w:p/>
    <w:p>
      <w:r>
        <w:t>This reproduction does not replicate the paper's headline result — question-matching retrieval underperforms plain dense retrieval here, most plausibly because this environment's heuristic one-question-per-chunk generator is far weaker than the paper's GPT-3.5, manually-reviewed, multi-question generator. This is offered as the most likely explanation given the evidence, not proven. On this same independent dataset, this project's own Hybrid+EAR improved accuracy from 84.3% to 96.0% at 71.4% coverage — a second, independent confirmation of Section 11.1's core finding.</w:t>
      </w:r>
    </w:p>
    <w:p>
      <w:pPr>
        <w:pStyle w:val="Heading1"/>
      </w:pPr>
      <w:r>
        <w:t>17. Error Analysis</w:t>
      </w:r>
    </w:p>
    <w:p>
      <w:r>
        <w:t>The Section 14.1 manual review is this work's primary qualitative error analysis: specific, named failure patterns were found, including a wrong table row extracted for a multi-row error-code lookup, a Yes/No question answered with unrelated context, and a "which year" question whose extractive answer never surfaced a year at all. A larger-scale, multi-rater manual review was not performed — stated as a gap.</w:t>
      </w:r>
    </w:p>
    <w:p>
      <w:pPr>
        <w:pStyle w:val="Heading1"/>
      </w:pPr>
      <w:r>
        <w:t>18. Computational Cost Analysis</w:t>
      </w:r>
    </w:p>
    <w:p>
      <w:r>
        <w:t>Hybrid+rerank costs ≈4× the latency of plain Hybrid (202 ms vs. 53 ms mean) for its accuracy gain. EAR's signal computation adds ≈95 ms with zero additional model inference (Section 5.7). RVQ's 2-stage fit takes 12–44 s on 16,076 vectors; the RVQ quantize+rerank fix adds no measurable latency over plain quantized search. Local-LLM generation averaged 3.1–4.0 s per answer; the RAGAS judging pipeline averaged 10.6–15.1 s per answer across its five metric calls.</w:t>
      </w:r>
    </w:p>
    <w:p>
      <w:pPr>
        <w:pStyle w:val="Heading1"/>
      </w:pPr>
      <w:r>
        <w:t>19. Limitations</w:t>
      </w:r>
    </w:p>
    <w:p>
      <w:pPr>
        <w:pStyle w:val="ListBullet"/>
      </w:pPr>
      <w:r>
        <w:t>EAR's ocr_confidence weight remains uninformative in every calibration run performed (clean-only and mixed clean+degraded) — Section 13.2 identifies why and names a fix (include failure examples in calibration), but that fix was not itself implemented and tested.</w:t>
      </w:r>
    </w:p>
    <w:p>
      <w:pPr>
        <w:pStyle w:val="ListBullet"/>
      </w:pPr>
      <w:r>
        <w:t>RAGAS metrics are this project's own implementation, judged by a 3.2-billion-parameter local model — not validated against a cloud-scale judge (GPT-4/Claude-class) the way the original RAGAS methodology was.</w:t>
      </w:r>
    </w:p>
    <w:p>
      <w:pPr>
        <w:pStyle w:val="ListBullet"/>
      </w:pPr>
      <w:r>
        <w:t>The NDSU reproduction's negative result has one plausible, untested explanation (weak question generation).</w:t>
      </w:r>
    </w:p>
    <w:p>
      <w:pPr>
        <w:pStyle w:val="ListBullet"/>
      </w:pPr>
      <w:r>
        <w:t>RVQ's quantize+rerank fix was validated for accuracy/latency only, not for the storage-tradeoff claim that motivates RVQ in the first place.</w:t>
      </w:r>
    </w:p>
    <w:p>
      <w:pPr>
        <w:pStyle w:val="ListBullet"/>
      </w:pPr>
      <w:r>
        <w:t>Single primary benchmark family (OHR-Bench and its substitute-sampled subsets), single embedding model (MiniLM), single OCR engine (Tesseract) throughout.</w:t>
      </w:r>
    </w:p>
    <w:p>
      <w:pPr>
        <w:pStyle w:val="Heading1"/>
      </w:pPr>
      <w:r>
        <w:t>20. Threats to Validity</w:t>
      </w:r>
    </w:p>
    <w:p>
      <w:r>
        <w:t>Calibration and evaluation splits are disjoint by construction but drawn from the same underlying stratified sample family (OHR-Bench), not independently collected corpora — partially addressed by Section 16's reproduction on a genuinely disjoint sample. Synthetic OCR degradation (Section 13) is not genuine scanner noise. The manual review in Section 14.1 used a single reviewer, not multiple independent raters.</w:t>
      </w:r>
    </w:p>
    <w:p>
      <w:pPr>
        <w:pStyle w:val="Heading1"/>
      </w:pPr>
      <w:r>
        <w:t>21. Reproducibility Statement</w:t>
      </w:r>
    </w:p>
    <w:p>
      <w:r>
        <w:t>Every number in this document is reproducible with one command per study:</w:t>
      </w:r>
    </w:p>
    <w:p>
      <w:r>
        <w:rPr>
          <w:rFonts w:ascii="Consolas" w:hAnsi="Consolas"/>
          <w:sz w:val="19"/>
        </w:rPr>
        <w:t>research/run_benchmark.py            # Section 11-12</w:t>
        <w:br/>
        <w:t>research/run_ocr_robustness.py       # Section 13</w:t>
        <w:br/>
        <w:t>research/run_full_metrics.py         # Section 14.2</w:t>
        <w:br/>
        <w:t>research/run_rvq_analysis.py         # Section 15</w:t>
        <w:br/>
        <w:t>research/run_ndsu_reproduction.py    # Section 16</w:t>
      </w:r>
    </w:p>
    <w:p>
      <w:r>
        <w:t>All seeded (42, 7, 17, 23 respectively, as applicable). Raw logs: research/experiments/*.json, indexed in research/experiments/registry.json.</w:t>
      </w:r>
    </w:p>
    <w:p>
      <w:pPr>
        <w:pStyle w:val="Heading1"/>
      </w:pPr>
      <w:r>
        <w:t>22. Conclusion and Future Work</w:t>
      </w:r>
    </w:p>
    <w:p>
      <w:r>
        <w:t>A calibrated, near-zero-overhead sufficiency score measurably improves selective answer accuracy and measured generation faithfulness on two independent datasets. The mechanism behind its weakest signal (OCR confidence) is understood precisely enough to fix rather than left as an open question. The RVQ recall gap has a statistically confirmed root cause and a working partial fix. The NDSU substitute-data study could not confirm the original paper's central claim and offers a specific, testable hypothesis for why, rather than an unexplained discrepancy. The strongest defensible contribution of this work is EAR's selective-prediction result, validated twice, at roughly two orders of magnitude lower latency than the nearest LLM-judge alternative — not a claim of category novelty, which a prior-art review found to be an active, populated 2026 research area. Priority next steps: recalibrate EAR with failure cases included (Section 13.2's identified fix), test LLM-generated questions for the NDSU reproduction to isolate Section 16's hypothesis, and validate RVQ's rerank fix under an actual storage-constrained deployment.</w:t>
      </w:r>
    </w:p>
    <w:p>
      <w:pPr>
        <w:pStyle w:val="Heading1"/>
      </w:pPr>
      <w:r>
        <w:t>References</w:t>
      </w:r>
    </w:p>
    <w:p>
      <w:pPr>
        <w:ind w:left="432" w:hanging="432"/>
      </w:pPr>
      <w:r>
        <w:rPr>
          <w:sz w:val="19"/>
        </w:rPr>
        <w:t>B. Saha, U. Saha, and M. Z. Malik, "QuIM-RAG: Advancing Retrieval-Augmented Generation With Inverted Question Matching for Enhanced QA Performance," IEEE Access, vol. 12, pp. 185401–185410, 2024, doi: 10.1109/ACCESS.2024.3513155.</w:t>
      </w:r>
    </w:p>
    <w:p>
      <w:pPr>
        <w:ind w:left="432" w:hanging="432"/>
      </w:pPr>
      <w:r>
        <w:rPr>
          <w:sz w:val="19"/>
        </w:rPr>
        <w:t>J. Zhang et al., "OCR Hinders RAG: Evaluating the Cascading Impact of OCR on Retrieval-Augmented Generation," arXiv:2412.02592, 2024 (ICCV 2025).</w:t>
      </w:r>
    </w:p>
    <w:p>
      <w:pPr>
        <w:ind w:left="432" w:hanging="432"/>
      </w:pPr>
      <w:r>
        <w:rPr>
          <w:sz w:val="19"/>
        </w:rPr>
        <w:t>H. Jégou, M. Douze, and C. Schmid, "Product Quantization for Nearest Neighbor Search," IEEE Trans. Pattern Anal. Mach. Intell., vol. 33, no. 1, pp. 117–128, 2011.</w:t>
      </w:r>
    </w:p>
    <w:p>
      <w:pPr>
        <w:ind w:left="432" w:hanging="432"/>
      </w:pPr>
      <w:r>
        <w:rPr>
          <w:sz w:val="19"/>
        </w:rPr>
        <w:t>S. Robertson and H. Zaragoza, "The Probabilistic Relevance Framework: BM25 and Beyond," Foundations and Trends in Information Retrieval, vol. 3, no. 4, pp. 333–389, 2009.</w:t>
      </w:r>
    </w:p>
    <w:p>
      <w:pPr>
        <w:ind w:left="432" w:hanging="432"/>
      </w:pPr>
      <w:r>
        <w:rPr>
          <w:sz w:val="19"/>
        </w:rPr>
        <w:t>P. Lewis et al., "Retrieval-Augmented Generation for Knowledge-Intensive NLP Tasks," NeurIPS 2020.</w:t>
      </w:r>
    </w:p>
    <w:p/>
    <w:p>
      <w:pPr>
        <w:ind w:left="432"/>
      </w:pPr>
      <w:r>
        <w:rPr>
          <w:i/>
          <w:color w:val="6B7280"/>
          <w:sz w:val="19"/>
        </w:rPr>
        <w:t>Full annotated literature review, including the 2026 prior-art scan for EAR, in research/PAPER_REVIEW.md and research/PATENTABILITY_ASSESSMENT.md.</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C5CE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4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4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