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0"/>
          <w:szCs w:val="20"/>
        </w:rPr>
        <w:t xml:space="preserve">ILMA CMS — Payments Module</w:t>
      </w:r>
    </w:p>
    <w:p>
      <w:pPr>
        <w:pStyle w:val="Title"/>
        <w:spacing w:after="80"/>
      </w:pPr>
      <w:r>
        <w:rPr>
          <w:b/>
          <w:bCs/>
          <w:color w:val="1F4E79"/>
          <w:sz w:val="52"/>
          <w:szCs w:val="52"/>
        </w:rPr>
        <w:t xml:space="preserve">Around Final Payment</w:t>
      </w:r>
    </w:p>
    <w:p>
      <w:pPr>
        <w:spacing w:after="140"/>
      </w:pPr>
      <w:r>
        <w:rPr>
          <w:i/>
          <w:iCs/>
          <w:color w:val="555555"/>
        </w:rPr>
        <w:t xml:space="preserve">A cost-effective plan for large payments — why percentage-based fees hurt at scale, and the flat-fee rail to use instead</w:t>
      </w:r>
    </w:p>
    <w:p>
      <w:pPr>
        <w:spacing w:after="140"/>
      </w:pPr>
      <w:r>
        <w:rPr>
          <w:color w:val="777777"/>
          <w:sz w:val="20"/>
          <w:szCs w:val="20"/>
        </w:rPr>
        <w:t xml:space="preserve">Companion to: ILMA CMS — Local Payment Methods Integration, Payments Cost &amp; Pricing Strategy, Raast P2M Implementation Paths</w:t>
      </w:r>
    </w:p>
    <w:p>
      <w:pPr>
        <w:pStyle w:val="Heading1"/>
        <w:spacing w:after="160" w:before="320"/>
      </w:pPr>
      <w:r>
        <w:t xml:space="preserve">1. The Problem</w:t>
      </w:r>
    </w:p>
    <w:p>
      <w:pPr>
        <w:spacing w:after="140"/>
      </w:pPr>
      <w:r>
        <w:t xml:space="preserve">Aggregator fees (2-2.9%) are percentage-based, so they scale directly with the payment amount. On a small routine payment this is negligible; on a large payment it becomes real money lost from a single transaction.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 5,000 monthly tuition at 2.5% = Rs 125 — unnoticed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 50,000 term fee at 2.5% = Rs 1,250 — noticeable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 150,000 admission fee at 2.5% = Rs 3,750 — real money lost on one transaction</w:t>
      </w:r>
    </w:p>
    <w:p>
      <w:pPr>
        <w:pBdr>
          <w:left w:val="single" w:color="1F4E79" w:sz="18"/>
        </w:pBdr>
        <w:shd w:fill="DCE6F1" w:val="clear"/>
        <w:spacing w:after="200" w:before="120"/>
        <w:ind w:left="200"/>
      </w:pPr>
      <w:r>
        <w:rPr>
          <w:b/>
          <w:bCs/>
        </w:rPr>
        <w:t xml:space="preserve">Note: </w:t>
      </w:r>
      <w:r>
        <w:t xml:space="preserve">The fix is not a different aggregator — it is routing large payments onto a flat-fee rail instead of a percentage rail.</w:t>
      </w:r>
    </w:p>
    <w:p>
      <w:pPr>
        <w:pStyle w:val="Heading1"/>
        <w:spacing w:after="160" w:before="320"/>
      </w:pPr>
      <w:r>
        <w:t xml:space="preserve">2. The Plan: Different Rails for Different Payment Sizes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506"/>
      </w:tblGrid>
      <w:tr>
        <w:trPr>
          <w:tblHeader/>
        </w:trPr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Payment size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Best rail</w:t>
            </w:r>
          </w:p>
        </w:tc>
        <w:tc>
          <w:tcPr>
            <w:tcW w:type="dxa" w:w="350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400"/>
          </w:tcPr>
          <w:p>
            <w:r>
              <w:t xml:space="preserve">Small / routine (monthly tuition, canteen top-up, minor fees)</w:t>
            </w:r>
          </w:p>
        </w:tc>
        <w:tc>
          <w:tcPr>
            <w:tcW w:type="dxa" w:w="2800"/>
          </w:tcPr>
          <w:p>
            <w:r>
              <w:t xml:space="preserve">Aggregator checkout link (2-2.9%)</w:t>
            </w:r>
          </w:p>
        </w:tc>
        <w:tc>
          <w:tcPr>
            <w:tcW w:type="dxa" w:w="3506"/>
          </w:tcPr>
          <w:p>
            <w:r>
              <w:t xml:space="preserve">Absolute fee is small in Rupees; convenience matters more than the rate</w:t>
            </w:r>
          </w:p>
        </w:tc>
      </w:tr>
      <w:tr>
        <w:tc>
          <w:tcPr>
            <w:tcW w:type="dxa" w:w="3400"/>
            <w:shd w:fill="F2F6FA" w:val="clear"/>
          </w:tcPr>
          <w:p>
            <w:r>
              <w:t xml:space="preserve">Large (admission fee, annual fee, security deposit, transport lump sum)</w:t>
            </w:r>
          </w:p>
        </w:tc>
        <w:tc>
          <w:tcPr>
            <w:tcW w:type="dxa" w:w="2800"/>
            <w:shd w:fill="F2F6FA" w:val="clear"/>
          </w:tcPr>
          <w:p>
            <w:r>
              <w:t xml:space="preserve">1LINK's 1BILL, or Raast</w:t>
            </w:r>
          </w:p>
        </w:tc>
        <w:tc>
          <w:tcPr>
            <w:tcW w:type="dxa" w:w="3506"/>
            <w:shd w:fill="F2F6FA" w:val="clear"/>
          </w:tcPr>
          <w:p>
            <w:r>
              <w:t xml:space="preserve">Flat or near-flat cost regardless of amount — breaks the percentage problem</w:t>
            </w:r>
          </w:p>
        </w:tc>
      </w:tr>
    </w:tbl>
    <w:p>
      <w:pPr>
        <w:pStyle w:val="Heading1"/>
        <w:spacing w:after="160" w:before="320"/>
      </w:pPr>
      <w:r>
        <w:t xml:space="preserve">3. 1LINK's "1BILL" — The Tool Built For This</w:t>
      </w:r>
    </w:p>
    <w:p>
      <w:pPr>
        <w:spacing w:after="140"/>
      </w:pPr>
      <w:r>
        <w:t xml:space="preserve">1BILL is an established biller system, not a card gateway — over 1,100 Pakistani schools already use it for fee collection through partner platforms (StudentCare, EasyFee, and others), precisely because it avoids percentage-based merchant discount rates.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Register the school as a biller with 1LINK — directly, or through an existing 1BILL reseller/aggregator that already holds the 1LINK relationship (faster route for a solo developer). The school receives a unique prefix code from 1LINK.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Every invoice ILMA generates gets a unique 1BILL consumer number and QR code automatically printed/embedded on it — no manual work per invoice.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Parent opens any banking app (JazzCash, Easypaisa, HBL, Meezan, Allied, UBL, or any other bank), scans the QR or enters the consumer number, and pays from home — no branch visit required.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Funds land directly in the school's bank account.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1LINK / the bank sends a reconciliation feed back that matches the consumer number to the invoice — this is what lets ILMA auto-mark the invoice as paid, the same principle as a webhook, delivered as a settlement file or callback instead of a live API call.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Cost is flat or near-flat per transaction, not a percentage of the amount — the entire reason a biller system exists separately from a card-acquiring system.</w:t>
      </w:r>
    </w:p>
    <w:p>
      <w:pPr>
        <w:pStyle w:val="Heading2"/>
        <w:spacing w:after="120" w:before="280"/>
      </w:pPr>
      <w:r>
        <w:t xml:space="preserve">3.1 Two Ways to Get Onto 1BILL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3006"/>
      </w:tblGrid>
      <w:tr>
        <w:trPr>
          <w:tblHeader/>
        </w:trP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41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Trade-off</w:t>
            </w:r>
          </w:p>
        </w:tc>
      </w:tr>
      <w:tr>
        <w:tc>
          <w:tcPr>
            <w:tcW w:type="dxa" w:w="2600"/>
          </w:tcPr>
          <w:p>
            <w:r>
              <w:t xml:space="preserve">Fast path (recommended now)</w:t>
            </w:r>
          </w:p>
        </w:tc>
        <w:tc>
          <w:tcPr>
            <w:tcW w:type="dxa" w:w="4100"/>
          </w:tcPr>
          <w:p>
            <w:r>
              <w:t xml:space="preserve">Go through an existing 1BILL reseller/aggregator that already has the 1LINK relationship (e.g. Innovexcell/EasyFee/StudentCare-style partners)</w:t>
            </w:r>
          </w:p>
        </w:tc>
        <w:tc>
          <w:tcPr>
            <w:tcW w:type="dxa" w:w="3006"/>
          </w:tcPr>
          <w:p>
            <w:r>
              <w:t xml:space="preserve">Pay a subscription or small per-transaction fee; live in days, no direct 1LINK onboarding needed</w:t>
            </w:r>
          </w:p>
        </w:tc>
      </w:tr>
      <w:tr>
        <w:tc>
          <w:tcPr>
            <w:tcW w:type="dxa" w:w="2600"/>
            <w:shd w:fill="F2F6FA" w:val="clear"/>
          </w:tcPr>
          <w:p>
            <w:r>
              <w:t xml:space="preserve">Direct path (later)</w:t>
            </w:r>
          </w:p>
        </w:tc>
        <w:tc>
          <w:tcPr>
            <w:tcW w:type="dxa" w:w="4100"/>
            <w:shd w:fill="F2F6FA" w:val="clear"/>
          </w:tcPr>
          <w:p>
            <w:r>
              <w:t xml:space="preserve">Apply to 1LINK directly as a biller</w:t>
            </w:r>
          </w:p>
        </w:tc>
        <w:tc>
          <w:tcPr>
            <w:tcW w:type="dxa" w:w="3006"/>
            <w:shd w:fill="F2F6FA" w:val="clear"/>
          </w:tcPr>
          <w:p>
            <w:r>
              <w:t xml:space="preserve">Cheaper long-term, no reseller markup — but heavier onboarding, worth pursuing once ILMA has enough schools to justify the effort</w:t>
            </w:r>
          </w:p>
        </w:tc>
      </w:tr>
    </w:tbl>
    <w:p>
      <w:pPr>
        <w:pStyle w:val="Heading1"/>
        <w:spacing w:after="160" w:before="320"/>
      </w:pPr>
      <w:r>
        <w:t xml:space="preserve">4. What This Actually Saves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36"/>
        <w:gridCol w:w="2436"/>
        <w:gridCol w:w="2434"/>
      </w:tblGrid>
      <w:tr>
        <w:trPr>
          <w:tblHeader/>
        </w:trP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Fee amount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Via aggregator card (2.5%)</w:t>
            </w:r>
          </w:p>
        </w:tc>
        <w:tc>
          <w:tcPr>
            <w:tcW w:type="dxa" w:w="243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Via Raast (0.35% floor)</w:t>
            </w:r>
          </w:p>
        </w:tc>
        <w:tc>
          <w:tcPr>
            <w:tcW w:type="dxa" w:w="2434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Via 1BILL (flat, illustrative Rs 15-30)</w:t>
            </w:r>
          </w:p>
        </w:tc>
      </w:tr>
      <w:tr>
        <w:tc>
          <w:tcPr>
            <w:tcW w:type="dxa" w:w="2400"/>
          </w:tcPr>
          <w:p>
            <w:r>
              <w:t xml:space="preserve">Rs 5,000 (monthly)</w:t>
            </w:r>
          </w:p>
        </w:tc>
        <w:tc>
          <w:tcPr>
            <w:tcW w:type="dxa" w:w="2436"/>
          </w:tcPr>
          <w:p>
            <w:r>
              <w:t xml:space="preserve">Rs 125</w:t>
            </w:r>
          </w:p>
        </w:tc>
        <w:tc>
          <w:tcPr>
            <w:tcW w:type="dxa" w:w="2436"/>
          </w:tcPr>
          <w:p>
            <w:r>
              <w:t xml:space="preserve">Rs 17.50</w:t>
            </w:r>
          </w:p>
        </w:tc>
        <w:tc>
          <w:tcPr>
            <w:tcW w:type="dxa" w:w="2434"/>
          </w:tcPr>
          <w:p>
            <w:r>
              <w:t xml:space="preserve">Rs 15-30</w:t>
            </w:r>
          </w:p>
        </w:tc>
      </w:tr>
      <w:tr>
        <w:tc>
          <w:tcPr>
            <w:tcW w:type="dxa" w:w="2400"/>
            <w:shd w:fill="F2F6FA" w:val="clear"/>
          </w:tcPr>
          <w:p>
            <w:r>
              <w:t xml:space="preserve">Rs 50,000 (term fee)</w:t>
            </w:r>
          </w:p>
        </w:tc>
        <w:tc>
          <w:tcPr>
            <w:tcW w:type="dxa" w:w="2436"/>
            <w:shd w:fill="F2F6FA" w:val="clear"/>
          </w:tcPr>
          <w:p>
            <w:r>
              <w:t xml:space="preserve">Rs 1,250</w:t>
            </w:r>
          </w:p>
        </w:tc>
        <w:tc>
          <w:tcPr>
            <w:tcW w:type="dxa" w:w="2436"/>
            <w:shd w:fill="F2F6FA" w:val="clear"/>
          </w:tcPr>
          <w:p>
            <w:r>
              <w:t xml:space="preserve">Rs 175</w:t>
            </w:r>
          </w:p>
        </w:tc>
        <w:tc>
          <w:tcPr>
            <w:tcW w:type="dxa" w:w="2434"/>
            <w:shd w:fill="F2F6FA" w:val="clear"/>
          </w:tcPr>
          <w:p>
            <w:r>
              <w:t xml:space="preserve">Rs 15-30</w:t>
            </w:r>
          </w:p>
        </w:tc>
      </w:tr>
      <w:tr>
        <w:tc>
          <w:tcPr>
            <w:tcW w:type="dxa" w:w="2400"/>
          </w:tcPr>
          <w:p>
            <w:r>
              <w:t xml:space="preserve">Rs 150,000 (admission fee)</w:t>
            </w:r>
          </w:p>
        </w:tc>
        <w:tc>
          <w:tcPr>
            <w:tcW w:type="dxa" w:w="2436"/>
          </w:tcPr>
          <w:p>
            <w:r>
              <w:t xml:space="preserve">Rs 3,750</w:t>
            </w:r>
          </w:p>
        </w:tc>
        <w:tc>
          <w:tcPr>
            <w:tcW w:type="dxa" w:w="2436"/>
          </w:tcPr>
          <w:p>
            <w:r>
              <w:t xml:space="preserve">Rs 525</w:t>
            </w:r>
          </w:p>
        </w:tc>
        <w:tc>
          <w:tcPr>
            <w:tcW w:type="dxa" w:w="2434"/>
          </w:tcPr>
          <w:p>
            <w:r>
              <w:t xml:space="preserve">Rs 15-30</w:t>
            </w:r>
          </w:p>
        </w:tc>
      </w:tr>
    </w:tbl>
    <w:p>
      <w:pPr>
        <w:pBdr>
          <w:left w:val="single" w:color="2E7D32" w:sz="18"/>
        </w:pBdr>
        <w:shd w:fill="E4F3E6" w:val="clear"/>
        <w:spacing w:after="200" w:before="120"/>
        <w:ind w:left="200"/>
      </w:pPr>
      <w:r>
        <w:rPr>
          <w:b/>
          <w:bCs/>
        </w:rPr>
        <w:t xml:space="preserve">Note: </w:t>
      </w:r>
      <w:r>
        <w:t xml:space="preserve">At the large end, this is not a small optimization — it is the difference between losing Rs 3,750 to a fee versus roughly Rs 30.</w:t>
      </w:r>
    </w:p>
    <w:p>
      <w:pPr>
        <w:pStyle w:val="Heading1"/>
        <w:spacing w:after="160" w:before="320"/>
      </w:pPr>
      <w:r>
        <w:t xml:space="preserve">5. The Plan, Concretely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Keep the existing aggregator checkout link (Flow 1 / Flow 2 from the main payments spec) for small, routine payments — already built, cheap enough at that size, and gives cards/wallets as an easy option.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Add a fourth flow: for any invoice above a threshold set by the school (e.g. anything over Rs 20,000 — admission fees, annual fees, security deposits), generate a 1BILL consumer number/QR instead of an aggregator link, and send that to the parent.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Route the reconciliation feed from 1BILL into the same auto-mark-paid logic the CMS already has for webhooks, so large payments settle into the invoice system exactly as automatically as small ones.</w:t>
      </w:r>
    </w:p>
    <w:p>
      <w:pPr>
        <w:pStyle w:val="Heading1"/>
        <w:spacing w:after="160" w:before="320"/>
      </w:pPr>
      <w:r>
        <w:t xml:space="preserve">6. Summary</w:t>
      </w:r>
    </w:p>
    <w:p>
      <w:pPr>
        <w:spacing w:after="140"/>
      </w:pPr>
      <w:r>
        <w:t xml:space="preserve">Percentage-based rails are fine for small, frequent payments and punishing for large, infrequent ones. Splitting the payment flow by size — aggregator for routine fees, 1BILL/Raast for large ones — keeps both ends of the fee schedule cost-effective without giving up automation on either side.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2026-09-26T18:32:11.307Z</dcterms:created>
  <dcterms:modified xsi:type="dcterms:W3CDTF">2026-09-26T18:32:11.307Z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