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3D6BFF"/>
          <w:sz w:val="20"/>
          <w:szCs w:val="20"/>
        </w:rPr>
        <w:t xml:space="preserve">ILMA CMS</w:t>
      </w:r>
    </w:p>
    <w:p>
      <w:pPr>
        <w:spacing w:after="60" w:before="120"/>
      </w:pPr>
      <w:r>
        <w:rPr>
          <w:b/>
          <w:bCs/>
          <w:color w:val="1A1F29"/>
          <w:sz w:val="44"/>
          <w:szCs w:val="44"/>
        </w:rPr>
        <w:t xml:space="preserve">Self-Hosted Chat Architecture</w:t>
      </w:r>
    </w:p>
    <w:p>
      <w:pPr>
        <w:spacing w:after="300"/>
      </w:pPr>
      <w:r>
        <w:rPr>
          <w:color w:val="6B7280"/>
          <w:sz w:val="22"/>
          <w:szCs w:val="22"/>
        </w:rPr>
        <w:t xml:space="preserve">Matrix vs. Rocket.Chat, sizing for 50,000+ MAU, and the role-based permission matrix</w:t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20"/>
      </w:pPr>
      <w:r>
        <w:t xml:space="preserve">This document scopes the messaging module for ILMA CMS at production scale (50,000+ monthly active users). It covers why self-hosting was chosen over managed chat vendors, compares the two leading self-hosted options, gives rough server sizing guidance, and maps the required role-based permission matrix onto an implementation pattern.</w:t>
      </w:r>
    </w:p>
    <w:p>
      <w:pPr>
        <w:pStyle w:val="Heading1"/>
        <w:spacing w:after="140" w:before="280"/>
      </w:pPr>
      <w:r>
        <w:t xml:space="preserve">2. Why Self-Hosted</w:t>
      </w:r>
    </w:p>
    <w:p>
      <w:pPr>
        <w:spacing w:after="120"/>
      </w:pPr>
      <w:r>
        <w:t xml:space="preserve">At 50,000+ MAU, managed chat vendors (Stream, Sendbird, CometChat) move well past their free tiers into contracts that, per real procurement data, typically run $40,000–$150,000 per year at this scale — with migrating away later estimated at 3–6 months of engineering effort. Self-hosting trades that recurring vendor fee for infrastructure cost plus ongoing DevOps ownership, which is the more sustainable choice for a platform that already knows it will operate at this scale.</w:t>
      </w:r>
    </w:p>
    <w:p>
      <w:pPr>
        <w:pStyle w:val="Heading1"/>
        <w:spacing w:after="140" w:before="280"/>
      </w:pPr>
      <w:r>
        <w:t xml:space="preserve">3. Platform Comparison: Matrix vs. Rocket.Chat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700"/>
      </w:tblGrid>
      <w:tr>
        <w:tc>
          <w:tcPr>
            <w:tcW w:type="dxa" w:w="23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35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Matrix (Synapse / Conduit) + Element</w:t>
            </w:r>
          </w:p>
        </w:tc>
        <w:tc>
          <w:tcPr>
            <w:tcW w:type="dxa" w:w="37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Rocket.Chat (Community Edition)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License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Open-source (AGPL), federated protocol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Open-source (MIT for CE core)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Decentralized protocol; you run a homeserver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Traditional client-server app; single deployment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Proven scale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Hundreds of thousands of users in government/enterprise deployments (e.g. national messengers)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Widely used in large enterprises; strong track record at tens of thousands of users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 apps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Element (web/iOS/Android), fully white-labelable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Native web/iOS/Android apps, easier out-of-the-box branding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permission logic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flexible via server-side application service ("appservice") bridging your CMS to room creation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REST/Realtime API + webhooks; slightly more turnkey admin API for scripted room creation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Admin/moderation tools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Basic natively; richer via Synapse Admin panel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 built-in admin console out of the box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 complexity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Moderate–high; homeserver + database + media repo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Moderate; single app + MongoDB, well-documented Docker setup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Requires your own push gateway (Sygnal) or third-party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Built-in push gateway support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Community/support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 open-source community; enterprise support available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community; paid Enterprise support tier available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t xml:space="preserve">Recommendation</w:t>
      </w:r>
    </w:p>
    <w:p>
      <w:pPr>
        <w:spacing w:after="120"/>
      </w:pPr>
      <w:r>
        <w:t xml:space="preserve">Rocket.Chat Community Edition is the more turnkey starting point: single deployment, built-in admin console, built-in push notifications, and a more conventional REST/Realtime API for server-side room creation — all of which reduce the engineering lift for a first production version. Matrix remains the stronger choice if federation (connecting with other institutions' servers later) or long-term protocol independence matters; it can be revisited as a migration once the platform is proven.</w:t>
      </w:r>
    </w:p>
    <w:p>
      <w:pPr>
        <w:pStyle w:val="Heading1"/>
        <w:spacing w:after="140" w:before="280"/>
      </w:pPr>
      <w:r>
        <w:t xml:space="preserve">4. Server Sizing Guidance (~50,000 MAU)</w:t>
      </w:r>
    </w:p>
    <w:p>
      <w:pPr>
        <w:spacing w:after="120"/>
      </w:pPr>
      <w:r>
        <w:t xml:space="preserve">These are starting-point estimates for planning, not a final capacity plan — real sizing should be validated with load testing against your actual message volume and concurrency patterns.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200"/>
      </w:tblGrid>
      <w:tr>
        <w:tc>
          <w:tcPr>
            <w:tcW w:type="dxa" w:w="30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33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32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Sizing note for ~50K MAU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/ homeserver nodes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Handles messaging logic, auth, room state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2–3 nodes behind a load balancer for redundancy; horizontally scalable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(PostgreSQL / MongoDB)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Stores messages, rooms, user state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Managed or self-run cluster with read replicas; this is usually the first bottleneck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 / file storage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 photos, shared files, child photos for parent-channel labeling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storage (S3-compatible) rather than local disk, for durability and CDN delivery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 (Redis)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 state, presence, rate limiting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managed instance is usually sufficient at this scale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gateway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 push notifications (APNs/FCM)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Sygnal (Matrix) or built-in (Rocket.Chat)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balancer / reverse proxy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TLS termination, routing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 (nginx/Traefik) in front of app nodes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Monitoring / logging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Uptime, error tracking, capacity alerts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Non-negotiable at this scale — plan for it from day one</w:t>
            </w:r>
          </w:p>
        </w:tc>
      </w:tr>
    </w:tbl>
    <w:p>
      <w:pPr>
        <w:spacing w:after="160"/>
      </w:pPr>
    </w:p>
    <w:p>
      <w:pPr>
        <w:pBdr>
          <w:left w:val="single" w:color="3D6BFF" w:sz="16" w:space="8"/>
        </w:pBdr>
        <w:spacing w:after="200" w:before="100"/>
        <w:ind w:left="200"/>
      </w:pPr>
      <w:r>
        <w:rPr>
          <w:i/>
          <w:iCs/>
          <w:color w:val="6B7280"/>
          <w:sz w:val="20"/>
          <w:szCs w:val="20"/>
        </w:rPr>
        <w:t xml:space="preserve">Plan for horizontal scaling of app nodes and database read replicas from the start, rather than a single large server — this is materially cheaper to build in early than to retrofit later.</w:t>
      </w:r>
    </w:p>
    <w:p>
      <w:pPr>
        <w:pStyle w:val="Heading1"/>
        <w:spacing w:after="140" w:before="280"/>
      </w:pPr>
      <w:r>
        <w:t xml:space="preserve">5. Permission Matrix</w:t>
      </w:r>
    </w:p>
    <w:p>
      <w:pPr>
        <w:spacing w:after="120"/>
      </w:pPr>
      <w:r>
        <w:t xml:space="preserve">None of the platforms above enforce this matrix natively — it is authorization logic your CMS backend applies before creating any channel. The chat platform only stores and delivers messages once a channel is approved and created.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77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 message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Classmates, their teachers, admins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Their child, their child's teachers, admins, finance manager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Teacher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Parents of their students (channel labeled by student name/section, e.g. “Ahmad — 9B’s Parent” with student photo), admins, their students, super admin (exclusively — not other teachers)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Teachers, students, parents, super admin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Admins, teachers, parents</w:t>
            </w:r>
          </w:p>
        </w:tc>
      </w:tr>
    </w:tbl>
    <w:p>
      <w:pPr>
        <w:spacing w:after="160"/>
      </w:pPr>
    </w:p>
    <w:p>
      <w:pPr>
        <w:pStyle w:val="Heading1"/>
        <w:spacing w:after="140" w:before="280"/>
      </w:pPr>
      <w:r>
        <w:t xml:space="preserve">6. Implementation Pattern</w:t>
      </w:r>
    </w:p>
    <w:p>
      <w:pPr>
        <w:pStyle w:val="Heading2"/>
        <w:spacing w:after="100" w:before="220"/>
      </w:pPr>
      <w:r>
        <w:t xml:space="preserve">Channel Creation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channels are created server-side by the CMS backend via the chat platform's admin/API layer — never directly by clients — so every channel is guaranteed to match an allowed pair/group from the permission matrix.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channels (e.g. a class group chat) are provisioned automatically when a class/section is created in the CMS.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1:1 channels (e.g. parent ↔ teacher) are provisioned lazily, the first time that specific pair is allowed to and attempts to message.</w:t>
      </w:r>
    </w:p>
    <w:p>
      <w:pPr>
        <w:pStyle w:val="Heading2"/>
        <w:spacing w:after="100" w:before="220"/>
      </w:pPr>
      <w:r>
        <w:t xml:space="preserve">Parent-Teacher Channel Labeling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parent↔teacher channel is tagged with metadata: student ID, student name, section.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 teacher opens the channel, the CMS frontend queries that metadata and renders the channel header as the student's name, section and photo (e.g. “Ahmad — 9B”) instead of the parent's own name or avatar.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purely a display-layer decision in the CMS frontend — the underlying chat platform stores one channel between two real accounts; only the label rendering differs per viewer.</w:t>
      </w:r>
    </w:p>
    <w:p>
      <w:pPr>
        <w:pStyle w:val="Heading2"/>
        <w:spacing w:after="100" w:before="220"/>
      </w:pPr>
      <w:r>
        <w:t xml:space="preserve">Access Enforcement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and relationship checks (which parent belongs to which student, which teacher teaches which section) live in the CMS's existing data model — the chat layer trusts the CMS's decision on who may open a channel with whom.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Deactivated accounts (e.g. a student who has left, or end of a teacher's assignment to a class) should automatically archive or restrict the related channels.</w:t>
      </w:r>
    </w:p>
    <w:p>
      <w:pPr>
        <w:pStyle w:val="Heading1"/>
        <w:spacing w:after="140" w:before="280"/>
      </w:pPr>
      <w:r>
        <w:t xml:space="preserve">7. Rollout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1: Prototype the permission logic and channel-provisioning API against a managed vendor's free tier (fastest way to validate the UX and data model).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Stand up the self-hosted Rocket.Chat (or Matrix) instance in a staging environment; port the provisioning logic to call its API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3: Load test at a simulated fraction of 50,000 MAU to validate sizing assumptions before general rollout.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4: Migrate pilot institutions first, then roll out broadly once stability is confirmed.</w:t>
      </w:r>
    </w:p>
    <w:p>
      <w:pPr>
        <w:pStyle w:val="Heading1"/>
        <w:spacing w:after="140" w:before="280"/>
      </w:pPr>
      <w:r>
        <w:t xml:space="preserve">8.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we need federation (institutions running their own separate servers that still interoperate), or is a single centrally-hosted instance sufficient?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expected peak concurrency (e.g. everyone online right after school hours) versus average, for sizing the load balancer and concurrent-connection capacity?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we need message retention/audit requirements (e.g. for dispute resolution between parents and teachers) that affect storage and backup design?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owns ongoing DevOps responsibility for the self-hosted instance once in production?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2026-09-27T09:31:47.778Z</dcterms:created>
  <dcterms:modified xsi:type="dcterms:W3CDTF">2026-09-27T09:31:47.787Z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