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3D6BFF"/>
          <w:sz w:val="20"/>
          <w:szCs w:val="20"/>
        </w:rPr>
        <w:t xml:space="preserve">ILMA CMS</w:t>
      </w:r>
    </w:p>
    <w:p>
      <w:pPr>
        <w:spacing w:after="60" w:before="120"/>
      </w:pPr>
      <w:r>
        <w:rPr>
          <w:b/>
          <w:bCs/>
          <w:color w:val="1A1F29"/>
          <w:sz w:val="44"/>
          <w:szCs w:val="44"/>
        </w:rPr>
        <w:t xml:space="preserve">Results &amp; Analysis Architecture</w:t>
      </w:r>
    </w:p>
    <w:p>
      <w:pPr>
        <w:spacing w:after="300"/>
      </w:pPr>
      <w:r>
        <w:rPr>
          <w:color w:val="6B7280"/>
          <w:sz w:val="22"/>
          <w:szCs w:val="22"/>
        </w:rPr>
        <w:t xml:space="preserve">Auto-generating demographics, charts and analytical diagrams from teacher-uploaded results</w:t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20"/>
      </w:pPr>
      <w:r>
        <w:t xml:space="preserve">This document scopes the Results &amp; Analysis feature: when a teacher uploads exam results, the system automatically computes statistics and renders them as charts across the Student, Parent, Teacher, Admin and Super Admin Exams &amp; Results screens. It covers why a generic BI platform doesn’t fit, the recommended free stack, the computation pipeline, and which chart type serves which screen.</w:t>
      </w:r>
    </w:p>
    <w:p>
      <w:pPr>
        <w:pStyle w:val="Heading1"/>
        <w:spacing w:after="140" w:before="280"/>
      </w:pPr>
      <w:r>
        <w:t xml:space="preserve">2. Recommended Stack</w:t>
      </w:r>
    </w:p>
    <w:p>
      <w:pPr>
        <w:spacing w:after="120"/>
      </w:pPr>
      <w:r>
        <w:t xml:space="preserve">This feature needs two distinct layers — a computation layer that turns raw marks into statistics, and a visualization layer that renders those statistics. No single free tool does both for a domain-specific case like exam results, so each layer uses the best free tool for its job.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00"/>
      </w:tblGrid>
      <w:tr>
        <w:tc>
          <w:tcPr>
            <w:tcW w:type="dxa" w:w="24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39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Computation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pandas (Python) or danfo.js (Node.js)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Turns raw uploaded marks into grade distributions, averages, percentiles — free, and matches whichever backend language ILMA already runs 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ECharts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(Apache 2.0), widest built-in chart-type library (bar, line, radar, box-plot, heatmap, funnel, gauge) — covers every diagram type this feature needs without hand-building charts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Rejected: BI platform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Superset / Metabase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 for internal team dashboards, not for embedding branded, per-teacher/per-class charts inside your own product; multi-tenant embedding needs Superset’s heavy DevOps stack or Metabase’s paid Enterprise tier</w:t>
            </w:r>
          </w:p>
        </w:tc>
      </w:tr>
    </w:tbl>
    <w:p>
      <w:pPr>
        <w:spacing w:after="160"/>
      </w:pPr>
    </w:p>
    <w:p>
      <w:pPr>
        <w:pBdr>
          <w:left w:val="single" w:color="3D6BFF" w:sz="16" w:space="8"/>
        </w:pBdr>
        <w:spacing w:after="200" w:before="100"/>
        <w:ind w:left="200"/>
      </w:pPr>
      <w:r>
        <w:rPr>
          <w:i/>
          <w:iCs/>
          <w:color w:val="6B7280"/>
          <w:sz w:val="20"/>
          <w:szCs w:val="20"/>
        </w:rPr>
        <w:t xml:space="preserve">Apache Superset and Metabase were evaluated and rejected for this specific feature: both are built for internal team dashboards, not for embedding branded, per-teacher/per-class charts inside ILMA's own UI. Multi-tenant embedding would require Superset's heavy DevOps stack or Metabase's paid Enterprise tier — unnecessary cost and complexity for a feature that should just live natively inside the product.</w:t>
      </w:r>
    </w:p>
    <w:p>
      <w:pPr>
        <w:pStyle w:val="Heading1"/>
        <w:spacing w:after="140" w:before="280"/>
      </w:pPr>
      <w:r>
        <w:t xml:space="preserve">3.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600"/>
      </w:tblGrid>
      <w:tr>
        <w:tc>
          <w:tcPr>
            <w:tcW w:type="dxa" w:w="9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86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Teacher uploads results (per exam, per class/section) through the Exams &amp; Marks screen.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validates the upload (correct student IDs, marks within range) and stores raw marks in the results table.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analysis job runs (synchronously for small classes, or queued for large uploads) using pandas/danfo.js to compute the metrics in Section 4.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Computed metrics are cached/stored as pre-aggregated JSON, keyed by exam + class + subject, so charts don’t recompute on every page view.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(Student, Parent, Teacher, Admin, Super Admin Exams &amp; Results screens) fetches this JSON and renders it with ECharts, per the mapping in Section 5.</w:t>
            </w:r>
          </w:p>
        </w:tc>
      </w:tr>
    </w:tbl>
    <w:p>
      <w:pPr>
        <w:pStyle w:val="Heading1"/>
        <w:spacing w:after="140" w:before="280"/>
      </w:pPr>
      <w:r>
        <w:t xml:space="preserve">4. What Gets Computed on Upload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69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Metrics computed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Student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Marks obtained/total, grade, percentile rank in class, CGPA/GPA trend across past exams, subject-wise strengths/weaknesses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Subject (class-wide)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Average, median, highest/lowest score, grade distribution (count per grade band), pass/fail rate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Class/Section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Overall class average, comparison across sections of the same grade, trend across exams (Q1/Q2/Mid/Final)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At-risk flags (low score + low attendance correlation), student-vs-class-average comparison, top/bottom performers</w:t>
            </w:r>
          </w:p>
        </w:tc>
      </w:tr>
    </w:tbl>
    <w:p>
      <w:pPr>
        <w:pStyle w:val="Heading1"/>
        <w:spacing w:after="140" w:before="280"/>
      </w:pPr>
      <w:r>
        <w:t xml:space="preserve">5. Chart Type Mapping</w:t>
      </w:r>
    </w:p>
    <w:p>
      <w:pPr>
        <w:spacing w:after="120"/>
      </w:pPr>
      <w:r>
        <w:t xml:space="preserve">Apache ECharts was chosen specifically because its built-in chart library covers every diagram type this feature needs, without custom-building chart rendering logic per type.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200"/>
      </w:tblGrid>
      <w:tr>
        <w:tc>
          <w:tcPr>
            <w:tcW w:type="dxa" w:w="36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Screen / Metric</w:t>
            </w:r>
          </w:p>
        </w:tc>
        <w:tc>
          <w:tcPr>
            <w:tcW w:type="dxa" w:w="26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ECharts type</w:t>
            </w:r>
          </w:p>
        </w:tc>
        <w:tc>
          <w:tcPr>
            <w:tcW w:type="dxa" w:w="32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Used 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CGPA/GPA trend across semesters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Line chart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Student, Parent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vs. class average, per subject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Grouped bar chart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Student, Parent, Teacher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Attendance percentage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Donut / gauge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Student, Parent, Attendance screen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Grade distribution across a class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Histogram (bar)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Teacher, Admin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average trend across exams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Line chart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Teacher, Admin, Reports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Multi-subject performance profile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Radar chart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Teacher (per-student review), Reports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Attendance vs. performance correlation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Scatter plot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Reports → Assessment Insights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Section-wise comparison (multi-branch)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 chart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 Admin → Reports</w:t>
            </w:r>
          </w:p>
        </w:tc>
      </w:tr>
    </w:tbl>
    <w:p>
      <w:pPr>
        <w:pStyle w:val="Heading1"/>
        <w:spacing w:after="140" w:before="280"/>
      </w:pPr>
      <w:r>
        <w:t xml:space="preserve">6. Example Computed-Metrics JSON</w:t>
      </w:r>
    </w:p>
    <w:p>
      <w:pPr>
        <w:spacing w:after="120"/>
      </w:pPr>
      <w:r>
        <w:t xml:space="preserve">The analysis job's output, cached per exam + class + subject, might look like this — the frontend fetches this shape and hands the relevant array straight to ECharts: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{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"examId": "mid-term-2026",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"classId": "grade8-a",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"subject": "data-structures",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"classAverage": 78.4,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"median": 80,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"highest": 97,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"lowest": 41,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"gradeDistribution": { "A+": 6, "A": 10, "B": 8, "C": 4, "D": 2 },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"passRate": 0.91,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"trendAcrossExams": [ { "exam": "Q1", "avg": 71 }, { "exam": "Mid", "avg": 78.4 } ],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  "atRiskStudents": [ { "studentId": "S1042", "score": 41, "attendance": 0.62 } ]</w:t>
      </w:r>
    </w:p>
    <w:p>
      <w:pPr>
        <w:pBdr>
          <w:top w:val="single" w:color="D9DCE1" w:sz="4"/>
          <w:bottom w:val="single" w:color="D9DCE1" w:sz="4"/>
          <w:left w:val="single" w:color="D9DCE1" w:sz="4"/>
          <w:right w:val="single" w:color="D9DCE1" w:sz="4"/>
        </w:pBdr>
        <w:shd w:fill="F2F3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2B2F36"/>
          <w:sz w:val="19"/>
          <w:szCs w:val="19"/>
        </w:rPr>
        <w:t xml:space="preserve">}</w:t>
      </w:r>
    </w:p>
    <w:p>
      <w:pPr>
        <w:pStyle w:val="Heading1"/>
        <w:spacing w:after="140" w:before="280"/>
      </w:pPr>
      <w:r>
        <w:t xml:space="preserve">7. Implementation Phases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1: Build the computation job (pandas/danfo.js) for a single exam upload — grade distribution, average, pass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Wire the Teacher-facing charts first (grade distribution, class trend) since teachers are the upload source and the most immediate consumer.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3: Extend to Student/Parent views (CGPA trend, student-vs-class-average) once the underlying metrics are validated.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4: Add cross-cutting analytics (at-risk flags, attendance correlation) to Admin/Super Admin Reports → Assessment Insights.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5: Move synchronous computation to a background queue if class sizes or concurrent uploads make inline computation too slow.</w:t>
      </w:r>
    </w:p>
    <w:p>
      <w:pPr>
        <w:pStyle w:val="Heading1"/>
        <w:spacing w:after="140" w:before="280"/>
      </w:pPr>
      <w:r>
        <w:t xml:space="preserve">8.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re-uploading/correcting a result recompute all cached metrics automatically, or require an explicit “recalculate” action?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grading scale(s) need to be supported (percentage, GPA, board-specific grade bands), and does the computation layer need to be configurable per board?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long should historical computed metrics be retained for trend charts (e.g. CGPA across semesters)?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“at-risk” need a configurable threshold per institution, or a single platform-wide definition?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2026-09-27T09:41:58.483Z</dcterms:created>
  <dcterms:modified xsi:type="dcterms:W3CDTF">2026-09-27T09:41:58.492Z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