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b57"/>
          <w:sz w:val="56"/>
          <w:szCs w:val="56"/>
        </w:rPr>
        <w:t xml:space="preserve">ILMA CMS</w:t>
      </w:r>
    </w:p>
    <w:p>
      <w:pPr>
        <w:spacing w:after="100" w:before="200"/>
        <w:jc w:val="center"/>
      </w:pPr>
      <w:r>
        <w:rPr>
          <w:b/>
          <w:bCs/>
          <w:color w:val="2c3e50"/>
          <w:sz w:val="28"/>
          <w:szCs w:val="28"/>
        </w:rPr>
        <w:t xml:space="preserve">Scheduled Payments &amp; Payroll — Module Plan</w:t>
      </w:r>
    </w:p>
    <w:p>
      <w:pPr>
        <w:spacing w:after="700"/>
        <w:jc w:val="center"/>
      </w:pPr>
      <w:r>
        <w:rPr>
          <w:i/>
          <w:iCs/>
          <w:color w:val="555555"/>
          <w:sz w:val="21"/>
          <w:szCs w:val="21"/>
        </w:rPr>
        <w:t xml:space="preserve">Separating the free scheduling engine from the payout rail, and comparing payout options for Pakistan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1. Purpose</w:t>
      </w:r>
    </w:p>
    <w:p>
      <w:pPr>
        <w:spacing w:after="160"/>
      </w:pPr>
      <w:r>
        <w:t xml:space="preserve">This document scopes a Scheduled Payments / Payroll feature for the Salary &amp; Loan Management module. The key design point: scheduling and payout are two separate concerns with very different costs. Scheduling (when a payment is due) is pure application logic and free to build. Payout (actually moving the money) always runs over a paid rail — the choice is which rail, not whether to pay.</w:t>
      </w:r>
    </w:p>
    <w:p>
      <w:pPr>
        <w:pStyle w:val="Heading1"/>
        <w:spacing w:after="180" w:before="380"/>
      </w:pPr>
      <w:r>
        <w:t xml:space="preserve">2. Two Concerns, Two Costs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48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4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Scheduling engine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ScheduledPayment record plus a background job that checks daily for due payments and groups them into a batch.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 — in-house application logic, no external dependency.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Payout rail</w:t>
            </w:r>
          </w:p>
        </w:tc>
        <w:tc>
          <w:tcPr>
            <w:tcW w:type="dxa" w:w="4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actual transfer of money to each payee's bank/wallet account.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Always has some cost — the options in Section 4 differ in how much and how automated.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t xml:space="preserve">3. Data Model</w:t>
      </w:r>
    </w:p>
    <w:p>
      <w:pPr>
        <w:spacing w:after="160"/>
      </w:pPr>
      <w:r>
        <w:t xml:space="preserve">New entities for the scheduling/payroll engine, attaching to the existing StaffMember and Branch entities from the core ERD.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ScheduledPayment generates PayrollBatch runs; each run's BatchLines are tied back to the staff member and the PayoutMethod used.</w:t>
      </w:r>
    </w:p>
    <w:p>
      <w:pPr>
        <w:pStyle w:val="Heading1"/>
        <w:spacing w:after="180" w:before="380"/>
      </w:pPr>
      <w:r>
        <w:t xml:space="preserve">4. Payment Lifecycle</w:t>
      </w:r>
    </w:p>
    <w:p>
      <w:pPr>
        <w:spacing w:after="160"/>
      </w:pPr>
      <w:r>
        <w:t xml:space="preserve">From creating a recurring payment to reconciled batch lines, with the payout-method choice as the one branching point.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Scheduled payment lifecycle. The payout method is a per-institute configuration choice, not a code branch.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5. Payout Options for Pakistan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6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40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Manual bank-file export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ILMA generates a bank-format CSV/Excel each cycle; the accountant uploads it to the institute's own bank's corporate internet banking bulk-transfer tool. No integration work, no API fees — one manual upload per cycle.</w:t>
            </w:r>
          </w:p>
        </w:tc>
      </w:tr>
      <w:t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Bank's own Corporate Salary package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Often free or a small flat fee per transfer, if the institute holds a business account there</w:t>
            </w:r>
          </w:p>
        </w:tc>
        <w:tc>
          <w:tcPr>
            <w:tcW w:type="dxa" w:w="4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Most Pakistani banks (HBL, UBL, MCB, Meezan, Allied, etc.) offer this for business account holders, running on 1LINK's Bulk 1IBFT rail under the hood. Cheapest semi-automated option — worth a call to the institute's business banking desk.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1LINK Bulk 1IBFT directly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Per-transaction fee per 1LINK's Schedule of Charges; free onboarding; batches up to 5,000 transfers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Built specifically for salary transfers, disbursements and remittances, but 1LINK works with participating banks/FIs, not directly with individual businesses — needs a bank or licensed aggregator to front the integration.</w:t>
            </w:r>
          </w:p>
        </w:tc>
      </w:tr>
      <w:t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PSP/aggregator API (e.g. Swich and similar)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Per-transaction fee (bank fee + PSP margin)</w:t>
            </w:r>
          </w:p>
        </w:tc>
        <w:tc>
          <w:tcPr>
            <w:tcW w:type="dxa" w:w="4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integration reaches banks via 1LINK, plus wallets (JazzCash, Easypaisa) and Raast, with real-time tracking. Full API automation from inside ILMA — no manual upload.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None of these rails are literally free at scale — the free tier is the manual bank-file export, which trades automation for zero cost.</w:t>
      </w:r>
    </w:p>
    <w:p>
      <w:pPr>
        <w:pStyle w:val="Heading1"/>
        <w:spacing w:after="180" w:before="380"/>
      </w:pPr>
      <w:r>
        <w:t xml:space="preserve">6. Recommendation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scheduling engine now — it's free and the same engine serves every payout method below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 the manual bank-file export as the default payout method for MVP — zero cost, gets the feature working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the institute's own bank's Corporate Salary package as the first automated upgrade — cheapest automated option, and many institutes may already bank with a provider that offers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PSP/aggregator integration (e.g. Swich) later as a premium, fully hands-off option once payroll volume across institutes justifies the integration effort and per-transaction cost.</w:t>
      </w:r>
    </w:p>
    <w:p>
      <w:pPr>
        <w:pStyle w:val="Heading1"/>
        <w:spacing w:after="180" w:before="380"/>
      </w:pPr>
      <w:r>
        <w:t xml:space="preserve">7.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PayoutMethod be configured once per institute, or selectable per PayrollBatch run (e.g. urgent off-cycle payments via a faster/costlier rail)?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the manual export path, what bank-file format(s) need support — a single generic CSV, or per-bank templates?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a failed/bounced BatchLine need an automatic retry, or should it always route to manual review (consistent with the failure-handling pattern in the Mantiq payment routing doc)?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Fee Payment (money coming in) and Payroll (money going out) share the same PayoutMethod/PSP relationship, or be configured independently per institute?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ILMA CMS — Scheduled Payments &amp; Payroll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60" w:before="340"/>
    </w:pPr>
    <w:rPr>
      <w:rFonts w:ascii="Calibri" w:cs="Calibri" w:eastAsia="Calibri" w:hAnsi="Calibri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7a4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66cf9ad973be7a4be604f20605ecd15ec69165.png"/><Relationship Id="rId10" Type="http://schemas.openxmlformats.org/officeDocument/2006/relationships/image" Target="media/b11451b6bbe383b365a696314e71089e1cbb94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2026-09-29T02:12:46.232Z</dcterms:created>
  <dcterms:modified xsi:type="dcterms:W3CDTF">2026-09-29T02:12:46.235Z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