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3D6BFF"/>
          <w:sz w:val="20"/>
          <w:szCs w:val="20"/>
        </w:rPr>
        <w:t xml:space="preserve">MANTIQ</w:t>
      </w:r>
    </w:p>
    <w:p>
      <w:pPr>
        <w:spacing w:after="60" w:before="120"/>
      </w:pPr>
      <w:r>
        <w:rPr>
          <w:b/>
          <w:bCs/>
          <w:color w:val="1A1F29"/>
          <w:sz w:val="44"/>
          <w:szCs w:val="44"/>
        </w:rPr>
        <w:t xml:space="preserve">Payment Routing Architecture</w:t>
      </w:r>
    </w:p>
    <w:p>
      <w:pPr>
        <w:spacing w:after="300"/>
      </w:pPr>
      <w:r>
        <w:rPr>
          <w:color w:val="6B7280"/>
          <w:sz w:val="22"/>
          <w:szCs w:val="22"/>
        </w:rPr>
        <w:t xml:space="preserve">Collection via Raast P2M / 1BILL, with automated disbursement to a third-party bank account</w:t>
      </w:r>
    </w:p>
    <w:p>
      <w:pPr>
        <w:pStyle w:val="Heading1"/>
        <w:spacing w:after="140" w:before="280"/>
      </w:pPr>
      <w:r>
        <w:t xml:space="preserve">1. Purpose</w:t>
      </w:r>
    </w:p>
    <w:p>
      <w:pPr>
        <w:spacing w:after="120"/>
      </w:pPr>
      <w:r>
        <w:t xml:space="preserve">This document captures the intended payment flow for Mantiq Business OS where a customer payment is collected into the merchant's account and then automatically routed (forwarded) to a client's bank account, without manual reconciliation. It clarifies which Pakistani payment rails are involved, why they cannot be combined into a single call, and what the resulting two-leg architecture looks like.</w:t>
      </w:r>
    </w:p>
    <w:p>
      <w:pPr>
        <w:pStyle w:val="Heading1"/>
        <w:spacing w:after="140" w:before="280"/>
      </w:pPr>
      <w:r>
        <w:t xml:space="preserve">2. Payment Rails Overview</w:t>
      </w:r>
    </w:p>
    <w:p>
      <w:pPr>
        <w:spacing w:after="120"/>
      </w:pPr>
      <w:r>
        <w:t xml:space="preserve">Three separate rails are relevant to this flow. Each moves money in one direction only — none of them natively supports "collect and forward" as a single operation.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3200"/>
        <w:gridCol w:w="1200"/>
      </w:tblGrid>
      <w:tr>
        <w:tc>
          <w:tcPr>
            <w:tcW w:type="dxa" w:w="22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Rail</w:t>
            </w:r>
          </w:p>
        </w:tc>
        <w:tc>
          <w:tcPr>
            <w:tcW w:type="dxa" w:w="29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dxa" w:w="32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2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Raast P2M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→ Merchant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Instant collection via QR, payment link, IBAN/alias, or Request-to-Pay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Collection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1BILL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→ Biller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Plug-and-play bill collection through banks' existing OTC/app channels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Collection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Bulk 1IBFT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→ Bank Account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Bulk instant transfer API for salary, disbursements, remittances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Payout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t xml:space="preserve">3. The Problem</w:t>
      </w:r>
    </w:p>
    <w:p>
      <w:pPr>
        <w:spacing w:after="120"/>
      </w:pPr>
      <w:r>
        <w:t xml:space="preserve">The original question was whether a single 1BILL integration could both receive a customer's payment and push it onward to a client's bank account at the same time. It cannot — 1BILL is a collection-only product, built for money flowing in from a customer to a biller through existing bank channels. Moving money onward to a different bank account is a separate operation, handled by a disbursement rail such as Bulk 1IBFT.</w:t>
      </w:r>
    </w:p>
    <w:p>
      <w:pPr>
        <w:pBdr>
          <w:left w:val="single" w:color="3D6BFF" w:sz="16" w:space="8"/>
        </w:pBdr>
        <w:spacing w:after="200" w:before="100"/>
        <w:ind w:left="200"/>
      </w:pPr>
      <w:r>
        <w:rPr>
          <w:i/>
          <w:iCs/>
          <w:color w:val="6B7280"/>
          <w:sz w:val="20"/>
          <w:szCs w:val="20"/>
        </w:rPr>
        <w:t xml:space="preserve">In short: 1BILL and Raast P2M bring money in. Bulk 1IBFT (or an aggregator's payout API) sends money out. “At the same time” in practice means near-instant and automated, not a single atomic transaction.</w:t>
      </w:r>
    </w:p>
    <w:p>
      <w:pPr>
        <w:pStyle w:val="Heading1"/>
        <w:spacing w:after="140" w:before="280"/>
      </w:pPr>
      <w:r>
        <w:t xml:space="preserve">4. Proposed Two-Leg Architecture</w:t>
      </w:r>
    </w:p>
    <w:p>
      <w:pPr>
        <w:pStyle w:val="Heading2"/>
        <w:spacing w:after="100" w:before="220"/>
      </w:pPr>
      <w:r>
        <w:t xml:space="preserve">Leg 1 — Collection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receives a payment link or scans a QR code (Raast P2M) or pays via 1BILL through their bank's app/OTC.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Funds settle instantly into Mantiq's merchant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Integration module auto-matches the payment to the customer, invoice and ledger (per Mantiq Core Features).</w:t>
      </w:r>
    </w:p>
    <w:p>
      <w:pPr>
        <w:pStyle w:val="Heading2"/>
        <w:spacing w:after="100" w:before="220"/>
      </w:pPr>
      <w:r>
        <w:t xml:space="preserve">Leg 2 — Automated Disbursement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webhook fires the moment Leg 1 is confirmed as settled.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Automation rule triggers a payout via Bulk 1IBFT (or the payment aggregator's payout/split-payment API) to the client's designated bank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Payout status is tracked asynchronously; success/failure updates the ledger automatically.</w:t>
      </w:r>
    </w:p>
    <w:p>
      <w:pPr>
        <w:pStyle w:val="Heading2"/>
        <w:spacing w:after="100" w:before="220"/>
      </w:pPr>
      <w:r>
        <w:t xml:space="preserve">Failure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payout leg fails, the collected funds remain in the merchant account and the transaction is flagged in a review queue rather than silently retried.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Idempotency keys are used on every payout request to prevent duplicate transfers if the automation retries.</w:t>
      </w:r>
    </w:p>
    <w:p>
      <w:pPr>
        <w:pStyle w:val="Heading1"/>
        <w:spacing w:after="140" w:before="280"/>
      </w:pPr>
      <w:r>
        <w:t xml:space="preserve">5. Key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Access: 1LINK's APIs (1BILL, Bulk 1IBFT) are aimed at member banks, not individual businesses. In practice, this flow is built through a licensed payment aggregator/PSP that is already a 1LINK member, rather than integrating with 1LINK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Timing: “Same time” is achievable as near-instant, webhook-triggered automation — not a single combined transaction, unless the chosen aggregator offers a built-in split-payment or escrow feature.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 payments: Some PSPs support splitting a single incoming payment across multiple destination accounts in one call — worth asking any aggregator under evaluation whether this is supported, since it would remove the need to orchestrate two separate legs.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Verification: Confirm current 1IBFT / Bulk-transfer access requirements, per-transaction limits and settlement timelines directly with the chosen PSP before finalizing the architecture, as these details evolve.</w:t>
      </w:r>
    </w:p>
    <w:p>
      <w:pPr>
        <w:pStyle w:val="Heading1"/>
        <w:spacing w:after="140" w:before="280"/>
      </w:pPr>
      <w:r>
        <w:t xml:space="preserve">6. Fit with Mantiq Business OS</w:t>
      </w:r>
    </w:p>
    <w:p>
      <w:pPr>
        <w:spacing w:after="120"/>
      </w:pPr>
      <w:r>
        <w:t xml:space="preserve">This flow extends the existing Payment Integration module rather than requiring a new system: the same “payment → customer → invoice → ledger” auto-matching already scoped for Mantiq gains one more automation rule — on confirmed collection, trigger a disbursement to a configured destination account. The review queue for unmatched payments extends naturally to cover failed or unmatched payouts as well.</w:t>
      </w:r>
    </w:p>
    <w:p>
      <w:pPr>
        <w:pStyle w:val="Heading1"/>
        <w:spacing w:after="140" w:before="280"/>
      </w:pPr>
      <w:r>
        <w:t xml:space="preserve">7.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PSP/aggregator will be used, and do they support split-payments natively?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expected volume and value per transaction, for rate and limit planning?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Should failed payouts auto-retry, or always route to manual review?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the “client” always the same fixed account, or configurable per transaction/customer?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2026-09-27T08:25:20.976Z</dcterms:created>
  <dcterms:modified xsi:type="dcterms:W3CDTF">2026-09-27T08:25:20.988Z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