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36192"/>
          <w:sz w:val="36"/>
        </w:rPr>
        <w:t>ILMA ERP</w:t>
      </w:r>
    </w:p>
    <w:p>
      <w:pPr>
        <w:pStyle w:val="Title"/>
        <w:jc w:val="center"/>
      </w:pPr>
      <w:r>
        <w:t>Super Admin Portal Blueprint</w:t>
      </w:r>
    </w:p>
    <w:p>
      <w:pPr>
        <w:jc w:val="center"/>
      </w:pPr>
      <w:r>
        <w:rPr>
          <w:sz w:val="24"/>
        </w:rPr>
        <w:t>ILMA Platform Control Center — Architecture, Multi-Industry Expansion &amp; Vendor Management</w:t>
      </w:r>
    </w:p>
    <w:p>
      <w:pPr>
        <w:spacing w:before="700"/>
      </w:pPr>
      <w:r>
        <w:rPr>
          <w:b/>
        </w:rPr>
        <w:t xml:space="preserve">Purpose: </w:t>
      </w:r>
      <w:r>
        <w:t>Design a central internal control center for Al-Mantiq to manage ILMA ERP customers first, expand to additional products and industries later, and eventually onboard and administer third-party software vendors through a governed multi-tenant platform.</w:t>
      </w:r>
    </w:p>
    <w:p>
      <w:r>
        <w:br w:type="page"/>
      </w:r>
    </w:p>
    <w:p>
      <w:pPr>
        <w:pStyle w:val="Heading1"/>
      </w:pPr>
      <w:r>
        <w:t>Document Outline</w:t>
      </w:r>
    </w:p>
    <w:p>
      <w:pPr>
        <w:pStyle w:val="ListBullet"/>
      </w:pPr>
      <w:r>
        <w:t>1. Vision and objectives</w:t>
      </w:r>
    </w:p>
    <w:p>
      <w:pPr>
        <w:pStyle w:val="ListBullet"/>
      </w:pPr>
      <w:r>
        <w:t>2. Customer Admin vs Super Admin</w:t>
      </w:r>
    </w:p>
    <w:p>
      <w:pPr>
        <w:pStyle w:val="ListBullet"/>
      </w:pPr>
      <w:r>
        <w:t>3. Recommended portal modules</w:t>
      </w:r>
    </w:p>
    <w:p>
      <w:pPr>
        <w:pStyle w:val="ListBullet"/>
      </w:pPr>
      <w:r>
        <w:t>4. Multi-industry architecture</w:t>
      </w:r>
    </w:p>
    <w:p>
      <w:pPr>
        <w:pStyle w:val="ListBullet"/>
      </w:pPr>
      <w:r>
        <w:t>5. Multi-vendor management</w:t>
      </w:r>
    </w:p>
    <w:p>
      <w:pPr>
        <w:pStyle w:val="ListBullet"/>
      </w:pPr>
      <w:r>
        <w:t>6. Global Vendor Registry</w:t>
      </w:r>
    </w:p>
    <w:p>
      <w:pPr>
        <w:pStyle w:val="ListBullet"/>
      </w:pPr>
      <w:r>
        <w:t>7. Platform hierarchy and tenant isolation</w:t>
      </w:r>
    </w:p>
    <w:p>
      <w:pPr>
        <w:pStyle w:val="ListBullet"/>
      </w:pPr>
      <w:r>
        <w:t>8. Implementation roadmap</w:t>
      </w:r>
    </w:p>
    <w:p>
      <w:pPr>
        <w:pStyle w:val="ListBullet"/>
      </w:pPr>
      <w:r>
        <w:t>9. Security and governance</w:t>
      </w:r>
    </w:p>
    <w:p>
      <w:pPr>
        <w:pStyle w:val="ListBullet"/>
      </w:pPr>
      <w:r>
        <w:t>10. Technical boundaries and integrations</w:t>
      </w:r>
    </w:p>
    <w:p>
      <w:pPr>
        <w:pStyle w:val="ListBullet"/>
      </w:pPr>
      <w:r>
        <w:t>11. Recommended initial scope</w:t>
      </w:r>
    </w:p>
    <w:p>
      <w:pPr>
        <w:pStyle w:val="ListBullet"/>
      </w:pPr>
      <w:r>
        <w:t>12. Decisions before detailed design</w:t>
      </w:r>
    </w:p>
    <w:p>
      <w:pPr>
        <w:pStyle w:val="Heading1"/>
      </w:pPr>
      <w:r>
        <w:t>1. Vision and Objectives</w:t>
      </w:r>
    </w:p>
    <w:p>
      <w:r>
        <w:t>The goal is to build a central “Al-Mantiq Control Center” (also called the “ILMA Platform Control Center”) that gives the platform owner one place to oversee customers, products, access, subscriptions, operations, and—later—third-party software vendors.</w:t>
      </w:r>
    </w:p>
    <w:p>
      <w:r>
        <w:t>ILMA ERP is the first product and focuses on education institutes. The control center should solve the immediate ILMA management need without forcing the business to build a complete marketplace or every future feature on day one.</w:t>
      </w:r>
    </w:p>
    <w:p>
      <w:pPr>
        <w:pStyle w:val="ListBullet"/>
      </w:pPr>
      <w:r>
        <w:t>Manage ILMA customer institutes, organizations, branches, and access from one internal portal.</w:t>
      </w:r>
    </w:p>
    <w:p>
      <w:pPr>
        <w:pStyle w:val="ListBullet"/>
      </w:pPr>
      <w:r>
        <w:t>Issue, manage, expire, and revoke invitations or access credentials.</w:t>
      </w:r>
    </w:p>
    <w:p>
      <w:pPr>
        <w:pStyle w:val="ListBullet"/>
      </w:pPr>
      <w:r>
        <w:t>Monitor subscriptions, plans, renewals, and customer activity.</w:t>
      </w:r>
    </w:p>
    <w:p>
      <w:pPr>
        <w:pStyle w:val="ListBullet"/>
      </w:pPr>
      <w:r>
        <w:t>Provide oversight of invoices, expenses, support requests, and operational health.</w:t>
      </w:r>
    </w:p>
    <w:p>
      <w:pPr>
        <w:pStyle w:val="ListBullet"/>
      </w:pPr>
      <w:r>
        <w:t>Create a reusable foundation for more Al-Mantiq products and industries.</w:t>
      </w:r>
    </w:p>
    <w:p>
      <w:pPr>
        <w:pStyle w:val="ListBullet"/>
      </w:pPr>
      <w:r>
        <w:t>Prepare for third-party vendors while isolating vendor data and permissions.</w:t>
      </w:r>
    </w:p>
    <w:p>
      <w:pPr>
        <w:pStyle w:val="ListBullet"/>
      </w:pPr>
      <w:r>
        <w:t>Maintain audit trails for sensitive administrative actions.</w:t>
      </w:r>
    </w:p>
    <w:p>
      <w:pPr>
        <w:pStyle w:val="Heading1"/>
      </w:pPr>
      <w:r>
        <w:t>2. Customer Admin vs Super Admin</w:t>
      </w:r>
    </w:p>
    <w:p>
      <w:r>
        <w:t>These should be separate experiences because they serve different audiences and authority levels.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63A5F"/>
          </w:tcPr>
          <w:p>
            <w:r>
              <w:rPr>
                <w:b/>
                <w:color w:val="FFFFFF"/>
                <w:sz w:val="18"/>
              </w:rPr>
              <w:t>Area</w:t>
            </w:r>
          </w:p>
        </w:tc>
        <w:tc>
          <w:tcPr>
            <w:tcW w:type="dxa" w:w="3312"/>
            <w:shd w:fill="163A5F"/>
          </w:tcPr>
          <w:p>
            <w:r>
              <w:rPr>
                <w:b/>
                <w:color w:val="FFFFFF"/>
                <w:sz w:val="18"/>
              </w:rPr>
              <w:t>ILMA ERP Customer Admin</w:t>
            </w:r>
          </w:p>
        </w:tc>
        <w:tc>
          <w:tcPr>
            <w:tcW w:type="dxa" w:w="3312"/>
            <w:shd w:fill="163A5F"/>
          </w:tcPr>
          <w:p>
            <w:r>
              <w:rPr>
                <w:b/>
                <w:color w:val="FFFFFF"/>
                <w:sz w:val="18"/>
              </w:rPr>
              <w:t>Al-Mantiq Super Admin Portal</w:t>
            </w:r>
          </w:p>
        </w:tc>
      </w:tr>
      <w:tr>
        <w:tc>
          <w:tcPr>
            <w:tcW w:type="dxa" w:w="3312"/>
          </w:tcPr>
          <w:p>
            <w:r>
              <w:rPr>
                <w:sz w:val="18"/>
              </w:rPr>
              <w:t>Primary user</w:t>
            </w:r>
          </w:p>
        </w:tc>
        <w:tc>
          <w:tcPr>
            <w:tcW w:type="dxa" w:w="3312"/>
          </w:tcPr>
          <w:p>
            <w:r>
              <w:rPr>
                <w:sz w:val="18"/>
              </w:rPr>
              <w:t>Institute owner/admin or authorized institute staff</w:t>
            </w:r>
          </w:p>
        </w:tc>
        <w:tc>
          <w:tcPr>
            <w:tcW w:type="dxa" w:w="3312"/>
          </w:tcPr>
          <w:p>
            <w:r>
              <w:rPr>
                <w:sz w:val="18"/>
              </w:rPr>
              <w:t>Al-Mantiq internal platform team</w:t>
            </w:r>
          </w:p>
        </w:tc>
      </w:tr>
      <w:tr>
        <w:tc>
          <w:tcPr>
            <w:tcW w:type="dxa" w:w="3312"/>
          </w:tcPr>
          <w:p>
            <w:r>
              <w:rPr>
                <w:sz w:val="18"/>
              </w:rPr>
              <w:t>Scope</w:t>
            </w:r>
          </w:p>
        </w:tc>
        <w:tc>
          <w:tcPr>
            <w:tcW w:type="dxa" w:w="3312"/>
          </w:tcPr>
          <w:p>
            <w:r>
              <w:rPr>
                <w:sz w:val="18"/>
              </w:rPr>
              <w:t>One institute and its permitted branches</w:t>
            </w:r>
          </w:p>
        </w:tc>
        <w:tc>
          <w:tcPr>
            <w:tcW w:type="dxa" w:w="3312"/>
          </w:tcPr>
          <w:p>
            <w:r>
              <w:rPr>
                <w:sz w:val="18"/>
              </w:rPr>
              <w:t>All authorized ILMA tenants and platform-level records</w:t>
            </w:r>
          </w:p>
        </w:tc>
      </w:tr>
      <w:tr>
        <w:tc>
          <w:tcPr>
            <w:tcW w:type="dxa" w:w="3312"/>
          </w:tcPr>
          <w:p>
            <w:r>
              <w:rPr>
                <w:sz w:val="18"/>
              </w:rPr>
              <w:t>Typical tasks</w:t>
            </w:r>
          </w:p>
        </w:tc>
        <w:tc>
          <w:tcPr>
            <w:tcW w:type="dxa" w:w="3312"/>
          </w:tcPr>
          <w:p>
            <w:r>
              <w:rPr>
                <w:sz w:val="18"/>
              </w:rPr>
              <w:t>Manage institute operations, staff, students, academic settings</w:t>
            </w:r>
          </w:p>
        </w:tc>
        <w:tc>
          <w:tcPr>
            <w:tcW w:type="dxa" w:w="3312"/>
          </w:tcPr>
          <w:p>
            <w:r>
              <w:rPr>
                <w:sz w:val="18"/>
              </w:rPr>
              <w:t>Provision customers, manage platform access, plans, support and oversight</w:t>
            </w:r>
          </w:p>
        </w:tc>
      </w:tr>
      <w:tr>
        <w:tc>
          <w:tcPr>
            <w:tcW w:type="dxa" w:w="3312"/>
          </w:tcPr>
          <w:p>
            <w:r>
              <w:rPr>
                <w:sz w:val="18"/>
              </w:rPr>
              <w:t>Authority</w:t>
            </w:r>
          </w:p>
        </w:tc>
        <w:tc>
          <w:tcPr>
            <w:tcW w:type="dxa" w:w="3312"/>
          </w:tcPr>
          <w:p>
            <w:r>
              <w:rPr>
                <w:sz w:val="18"/>
              </w:rPr>
              <w:t>Restricted to the institute and assigned permissions</w:t>
            </w:r>
          </w:p>
        </w:tc>
        <w:tc>
          <w:tcPr>
            <w:tcW w:type="dxa" w:w="3312"/>
          </w:tcPr>
          <w:p>
            <w:r>
              <w:rPr>
                <w:sz w:val="18"/>
              </w:rPr>
              <w:t>Platform-level authority, governed by internal roles and audit controls</w:t>
            </w:r>
          </w:p>
        </w:tc>
      </w:tr>
      <w:tr>
        <w:tc>
          <w:tcPr>
            <w:tcW w:type="dxa" w:w="3312"/>
          </w:tcPr>
          <w:p>
            <w:r>
              <w:rPr>
                <w:sz w:val="18"/>
              </w:rPr>
              <w:t>Future vendors</w:t>
            </w:r>
          </w:p>
        </w:tc>
        <w:tc>
          <w:tcPr>
            <w:tcW w:type="dxa" w:w="3312"/>
          </w:tcPr>
          <w:p>
            <w:r>
              <w:rPr>
                <w:sz w:val="18"/>
              </w:rPr>
              <w:t>Not applicable to the central portal role</w:t>
            </w:r>
          </w:p>
        </w:tc>
        <w:tc>
          <w:tcPr>
            <w:tcW w:type="dxa" w:w="3312"/>
          </w:tcPr>
          <w:p>
            <w:r>
              <w:rPr>
                <w:sz w:val="18"/>
              </w:rPr>
              <w:t>Can later include vendor organizations and their registered products</w:t>
            </w:r>
          </w:p>
        </w:tc>
      </w:tr>
    </w:tbl>
    <w:p>
      <w:r>
        <w:t>The Super Admin Portal should not simply be another screen inside the institute dashboard. It is a separate control layer for Al-Mantiq platform operations.</w:t>
      </w:r>
    </w:p>
    <w:p>
      <w:pPr>
        <w:pStyle w:val="Heading1"/>
      </w:pPr>
      <w:r>
        <w:t>3. Recommended Portal Modules</w:t>
      </w:r>
    </w:p>
    <w:p>
      <w:pPr>
        <w:pStyle w:val="Heading2"/>
      </w:pPr>
      <w:r>
        <w:t>3.1 Overview Dashboard</w:t>
      </w:r>
    </w:p>
    <w:p>
      <w:pPr>
        <w:pStyle w:val="ListBullet"/>
      </w:pPr>
      <w:r>
        <w:t>Total customer organizations and active institutes.</w:t>
      </w:r>
    </w:p>
    <w:p>
      <w:pPr>
        <w:pStyle w:val="ListBullet"/>
      </w:pPr>
      <w:r>
        <w:t>Active, trial, suspended, expired, and pending subscriptions.</w:t>
      </w:r>
    </w:p>
    <w:p>
      <w:pPr>
        <w:pStyle w:val="ListBullet"/>
      </w:pPr>
      <w:r>
        <w:t>New customer onboarding and invitations awaiting action.</w:t>
      </w:r>
    </w:p>
    <w:p>
      <w:pPr>
        <w:pStyle w:val="ListBullet"/>
      </w:pPr>
      <w:r>
        <w:t>High-level revenue, invoices, overdue payments, and expense summaries where records are maintained.</w:t>
      </w:r>
    </w:p>
    <w:p>
      <w:pPr>
        <w:pStyle w:val="ListBullet"/>
      </w:pPr>
      <w:r>
        <w:t>Open support cases, system alerts, failed integrations, and recent administrative activity.</w:t>
      </w:r>
    </w:p>
    <w:p>
      <w:pPr>
        <w:pStyle w:val="Heading2"/>
      </w:pPr>
      <w:r>
        <w:t>3.2 Customer / Institute Management</w:t>
      </w:r>
    </w:p>
    <w:p>
      <w:pPr>
        <w:pStyle w:val="ListBullet"/>
      </w:pPr>
      <w:r>
        <w:t>Create and maintain customer records.</w:t>
      </w:r>
    </w:p>
    <w:p>
      <w:pPr>
        <w:pStyle w:val="ListBullet"/>
      </w:pPr>
      <w:r>
        <w:t>Track organization details, contacts, assigned product, status, plan, and renewal date.</w:t>
      </w:r>
    </w:p>
    <w:p>
      <w:pPr>
        <w:pStyle w:val="ListBullet"/>
      </w:pPr>
      <w:r>
        <w:t>Manage branches or campuses under an organization.</w:t>
      </w:r>
    </w:p>
    <w:p>
      <w:pPr>
        <w:pStyle w:val="ListBullet"/>
      </w:pPr>
      <w:r>
        <w:t>Search, filter, and export permitted records.</w:t>
      </w:r>
    </w:p>
    <w:p>
      <w:pPr>
        <w:pStyle w:val="ListBullet"/>
      </w:pPr>
      <w:r>
        <w:t>Suspend or reactivate access with a reason and audit record.</w:t>
      </w:r>
    </w:p>
    <w:p>
      <w:pPr>
        <w:pStyle w:val="Heading2"/>
      </w:pPr>
      <w:r>
        <w:t>3.3 Access and Invitation Management</w:t>
      </w:r>
    </w:p>
    <w:p>
      <w:pPr>
        <w:pStyle w:val="ListBullet"/>
      </w:pPr>
      <w:r>
        <w:t>Generate invitations or onboarding links for customer administrators.</w:t>
      </w:r>
    </w:p>
    <w:p>
      <w:pPr>
        <w:pStyle w:val="ListBullet"/>
      </w:pPr>
      <w:r>
        <w:t>Track invitation status, expiry, redemption, and revocation.</w:t>
      </w:r>
    </w:p>
    <w:p>
      <w:pPr>
        <w:pStyle w:val="ListBullet"/>
      </w:pPr>
      <w:r>
        <w:t>Assign an organization, product, plan, and role when an invitation is issued.</w:t>
      </w:r>
    </w:p>
    <w:p>
      <w:pPr>
        <w:pStyle w:val="ListBullet"/>
      </w:pPr>
      <w:r>
        <w:t>Use secure, expiring credentials rather than permanent shared access keys wherever possible.</w:t>
      </w:r>
    </w:p>
    <w:p>
      <w:pPr>
        <w:pStyle w:val="Heading2"/>
      </w:pPr>
      <w:r>
        <w:t>3.4 Subscriptions and Plans</w:t>
      </w:r>
    </w:p>
    <w:p>
      <w:pPr>
        <w:pStyle w:val="ListBullet"/>
      </w:pPr>
      <w:r>
        <w:t>Track trial, active, grace-period, overdue, suspended, and cancelled states.</w:t>
      </w:r>
    </w:p>
    <w:p>
      <w:pPr>
        <w:pStyle w:val="ListBullet"/>
      </w:pPr>
      <w:r>
        <w:t>Manage plan catalogue, limits, add-ons, and renewal information.</w:t>
      </w:r>
    </w:p>
    <w:p>
      <w:pPr>
        <w:pStyle w:val="ListBullet"/>
      </w:pPr>
      <w:r>
        <w:t>Record manual payment confirmations or connect a billing service if required.</w:t>
      </w:r>
    </w:p>
    <w:p>
      <w:pPr>
        <w:pStyle w:val="ListBullet"/>
      </w:pPr>
      <w:r>
        <w:t>Keep subscription state consistent across the control center and product applications.</w:t>
      </w:r>
    </w:p>
    <w:p>
      <w:pPr>
        <w:pStyle w:val="Heading2"/>
      </w:pPr>
      <w:r>
        <w:t>3.5 Billing, Invoices and Expenses</w:t>
      </w:r>
    </w:p>
    <w:p>
      <w:pPr>
        <w:pStyle w:val="ListBullet"/>
      </w:pPr>
      <w:r>
        <w:t>View invoices, payment status, credits, refunds, and renewals if applicable.</w:t>
      </w:r>
    </w:p>
    <w:p>
      <w:pPr>
        <w:pStyle w:val="ListBullet"/>
      </w:pPr>
      <w:r>
        <w:t>Track internal operating expenses separately from customer billing.</w:t>
      </w:r>
    </w:p>
    <w:p>
      <w:pPr>
        <w:pStyle w:val="ListBullet"/>
      </w:pPr>
      <w:r>
        <w:t>Restrict financial information and audit changes.</w:t>
      </w:r>
    </w:p>
    <w:p>
      <w:pPr>
        <w:pStyle w:val="ListBullet"/>
      </w:pPr>
      <w:r>
        <w:t>Integrate accounting or payment systems when the process is defined.</w:t>
      </w:r>
    </w:p>
    <w:p>
      <w:pPr>
        <w:pStyle w:val="Heading2"/>
      </w:pPr>
      <w:r>
        <w:t>3.6 Analytics and Reports</w:t>
      </w:r>
    </w:p>
    <w:p>
      <w:pPr>
        <w:pStyle w:val="ListBullet"/>
      </w:pPr>
      <w:r>
        <w:t>Customer growth, active usage, plan distribution, renewals, and churn indicators.</w:t>
      </w:r>
    </w:p>
    <w:p>
      <w:pPr>
        <w:pStyle w:val="ListBullet"/>
      </w:pPr>
      <w:r>
        <w:t>Product-level and industry-level summaries as products expand.</w:t>
      </w:r>
    </w:p>
    <w:p>
      <w:pPr>
        <w:pStyle w:val="ListBullet"/>
      </w:pPr>
      <w:r>
        <w:t>Vendor-level analytics later, limited to approved data.</w:t>
      </w:r>
    </w:p>
    <w:p>
      <w:pPr>
        <w:pStyle w:val="ListBullet"/>
      </w:pPr>
      <w:r>
        <w:t>Keep report definitions consistent across products.</w:t>
      </w:r>
    </w:p>
    <w:p>
      <w:pPr>
        <w:pStyle w:val="Heading2"/>
      </w:pPr>
      <w:r>
        <w:t>3.7 Team, Roles and Permissions</w:t>
      </w:r>
    </w:p>
    <w:p>
      <w:pPr>
        <w:pStyle w:val="ListBullet"/>
      </w:pPr>
      <w:r>
        <w:t>Create internal staff accounts and assign role-based permissions.</w:t>
      </w:r>
    </w:p>
    <w:p>
      <w:pPr>
        <w:pStyle w:val="ListBullet"/>
      </w:pPr>
      <w:r>
        <w:t>Separate support, finance, sales, operations, security, and super-admin privileges.</w:t>
      </w:r>
    </w:p>
    <w:p>
      <w:pPr>
        <w:pStyle w:val="ListBullet"/>
      </w:pPr>
      <w:r>
        <w:t>Apply least-privilege access and stronger authentication for privileged roles.</w:t>
      </w:r>
    </w:p>
    <w:p>
      <w:pPr>
        <w:pStyle w:val="ListBullet"/>
      </w:pPr>
      <w:r>
        <w:t>Record permission changes and sensitive actions.</w:t>
      </w:r>
    </w:p>
    <w:p>
      <w:pPr>
        <w:pStyle w:val="Heading2"/>
      </w:pPr>
      <w:r>
        <w:t>3.8 Support and CRM</w:t>
      </w:r>
    </w:p>
    <w:p>
      <w:pPr>
        <w:pStyle w:val="ListBullet"/>
      </w:pPr>
      <w:r>
        <w:t>Track inquiries, issues, follow-ups, escalations, and resolution status.</w:t>
      </w:r>
    </w:p>
    <w:p>
      <w:pPr>
        <w:pStyle w:val="ListBullet"/>
      </w:pPr>
      <w:r>
        <w:t>Associate cases with an organization and product.</w:t>
      </w:r>
    </w:p>
    <w:p>
      <w:pPr>
        <w:pStyle w:val="ListBullet"/>
      </w:pPr>
      <w:r>
        <w:t>Limit access to data needed to resolve a case.</w:t>
      </w:r>
    </w:p>
    <w:p>
      <w:pPr>
        <w:pStyle w:val="ListBullet"/>
      </w:pPr>
      <w:r>
        <w:t>Provide an auditable, time-limited support-access process where deeper access is necessary.</w:t>
      </w:r>
    </w:p>
    <w:p>
      <w:pPr>
        <w:pStyle w:val="Heading2"/>
      </w:pPr>
      <w:r>
        <w:t>3.9 System Monitoring and Integrations</w:t>
      </w:r>
    </w:p>
    <w:p>
      <w:pPr>
        <w:pStyle w:val="ListBullet"/>
      </w:pPr>
      <w:r>
        <w:t>Show service health, integration status, background-job failures, and alerts.</w:t>
      </w:r>
    </w:p>
    <w:p>
      <w:pPr>
        <w:pStyle w:val="ListBullet"/>
      </w:pPr>
      <w:r>
        <w:t>Track API connections and credential status without exposing secrets.</w:t>
      </w:r>
    </w:p>
    <w:p>
      <w:pPr>
        <w:pStyle w:val="ListBullet"/>
      </w:pPr>
      <w:r>
        <w:t>Support credential revocation and rotation.</w:t>
      </w:r>
    </w:p>
    <w:p>
      <w:pPr>
        <w:pStyle w:val="ListBullet"/>
      </w:pPr>
      <w:r>
        <w:t>Keep monitoring separate from unrestricted application-data access.</w:t>
      </w:r>
    </w:p>
    <w:p>
      <w:pPr>
        <w:pStyle w:val="Heading2"/>
      </w:pPr>
      <w:r>
        <w:t>3.10 Settings, Notifications and Audit Logs</w:t>
      </w:r>
    </w:p>
    <w:p>
      <w:pPr>
        <w:pStyle w:val="ListBullet"/>
      </w:pPr>
      <w:r>
        <w:t>Manage platform configuration and notification rules.</w:t>
      </w:r>
    </w:p>
    <w:p>
      <w:pPr>
        <w:pStyle w:val="ListBullet"/>
      </w:pPr>
      <w:r>
        <w:t>Record who performed an action, what changed, when, and the target.</w:t>
      </w:r>
    </w:p>
    <w:p>
      <w:pPr>
        <w:pStyle w:val="ListBullet"/>
      </w:pPr>
      <w:r>
        <w:t>Support audit search, retention, and authorized exports.</w:t>
      </w:r>
    </w:p>
    <w:p>
      <w:pPr>
        <w:pStyle w:val="ListBullet"/>
      </w:pPr>
      <w:r>
        <w:t>Protect audit records from unauthorized alteration.</w:t>
      </w:r>
    </w:p>
    <w:p>
      <w:pPr>
        <w:pStyle w:val="Heading1"/>
      </w:pPr>
      <w:r>
        <w:t>4. Multi-Industry Platform Architecture</w:t>
      </w:r>
    </w:p>
    <w:p>
      <w:r>
        <w:t>The platform can eventually support multiple industries, but it should not become one giant application with every industry’s rules mixed together. A better direction is a shared platform core with separate products and industry-specific modules.</w:t>
      </w:r>
    </w:p>
    <w:p>
      <w:pPr>
        <w:pStyle w:val="Heading2"/>
      </w:pPr>
      <w:r>
        <w:t>4.1 Shared platform core</w:t>
      </w:r>
    </w:p>
    <w:p>
      <w:pPr>
        <w:pStyle w:val="ListBullet"/>
      </w:pPr>
      <w:r>
        <w:t>Organizations / tenants, branches, users, roles, and permissions.</w:t>
      </w:r>
    </w:p>
    <w:p>
      <w:pPr>
        <w:pStyle w:val="ListBullet"/>
      </w:pPr>
      <w:r>
        <w:t>Authentication, invitations, access control, audit logging, and notifications.</w:t>
      </w:r>
    </w:p>
    <w:p>
      <w:pPr>
        <w:pStyle w:val="ListBullet"/>
      </w:pPr>
      <w:r>
        <w:t>Product registry, subscription/plan registry, billing records, and feature entitlements.</w:t>
      </w:r>
    </w:p>
    <w:p>
      <w:pPr>
        <w:pStyle w:val="ListBullet"/>
      </w:pPr>
      <w:r>
        <w:t>Integration registry, API credential lifecycle, monitoring, and support workflows.</w:t>
      </w:r>
    </w:p>
    <w:p>
      <w:pPr>
        <w:pStyle w:val="ListBullet"/>
      </w:pPr>
      <w:r>
        <w:t>Consistent tenant isolation and organization-level ownership.</w:t>
      </w:r>
    </w:p>
    <w:p>
      <w:pPr>
        <w:pStyle w:val="Heading2"/>
      </w:pPr>
      <w:r>
        <w:t>4.2 Product and industry modules</w:t>
      </w:r>
    </w:p>
    <w:p>
      <w:pPr>
        <w:pStyle w:val="ListBullet"/>
      </w:pPr>
      <w:r>
        <w:t>ILMA ERP remains the education product, with education-specific entities and workflows.</w:t>
      </w:r>
    </w:p>
    <w:p>
      <w:pPr>
        <w:pStyle w:val="ListBullet"/>
      </w:pPr>
      <w:r>
        <w:t>Future products can serve other industries using their own domain models and features.</w:t>
      </w:r>
    </w:p>
    <w:p>
      <w:pPr>
        <w:pStyle w:val="ListBullet"/>
      </w:pPr>
      <w:r>
        <w:t>Reuse common platform services, but keep industry-specific business logic in the relevant product/module.</w:t>
      </w:r>
    </w:p>
    <w:p>
      <w:pPr>
        <w:pStyle w:val="ListBullet"/>
      </w:pPr>
      <w:r>
        <w:t>Use a product/module/feature registry to define what each product offers and what each plan enables.</w:t>
      </w:r>
    </w:p>
    <w:p>
      <w:pPr>
        <w:pStyle w:val="ListBullet"/>
      </w:pPr>
      <w:r>
        <w:t>Avoid forcing unrelated industries into one shared database schema if their data models differ substantially.</w:t>
      </w:r>
    </w:p>
    <w:p>
      <w:pPr>
        <w:pStyle w:val="Heading2"/>
      </w:pPr>
      <w:r>
        <w:t>4.3 Architecture principles</w:t>
      </w:r>
    </w:p>
    <w:p>
      <w:pPr>
        <w:pStyle w:val="ListBullet"/>
      </w:pPr>
      <w:r>
        <w:t>Multi-tenant by design: customer-owned records must be scoped to the correct organization/tenant.</w:t>
      </w:r>
    </w:p>
    <w:p>
      <w:pPr>
        <w:pStyle w:val="ListBullet"/>
      </w:pPr>
      <w:r>
        <w:t>Backend-enforced authorization: hiding a button in the interface is not sufficient security.</w:t>
      </w:r>
    </w:p>
    <w:p>
      <w:pPr>
        <w:pStyle w:val="ListBullet"/>
      </w:pPr>
      <w:r>
        <w:t>Modular-first: make future extension possible without implementing every future feature immediately.</w:t>
      </w:r>
    </w:p>
    <w:p>
      <w:pPr>
        <w:pStyle w:val="ListBullet"/>
      </w:pPr>
      <w:r>
        <w:t>API-based integration: the control center communicates with products through documented, authorized interfaces.</w:t>
      </w:r>
    </w:p>
    <w:p>
      <w:pPr>
        <w:pStyle w:val="ListBullet"/>
      </w:pPr>
      <w:r>
        <w:t>Monitoring and deployment should reflect the actual hosting model and operational capacity.</w:t>
      </w:r>
    </w:p>
    <w:p>
      <w:pPr>
        <w:pStyle w:val="ListBullet"/>
      </w:pPr>
      <w:r>
        <w:t>Separate platform administration from each product’s business operations.</w:t>
      </w:r>
    </w:p>
    <w:p>
      <w:pPr>
        <w:pStyle w:val="Heading1"/>
      </w:pPr>
      <w:r>
        <w:t>5. Multi-Vendor Management Capability</w:t>
      </w:r>
    </w:p>
    <w:p>
      <w:r>
        <w:t>Yes—the same control center can be extended to manage multiple third-party vendors if the platform is designed around vendor organizations, product ownership, tenant isolation, and permission boundaries. The recommended approach is to support Al-Mantiq products first and activate vendor-facing capabilities when there is real partner demand.</w:t>
      </w:r>
    </w:p>
    <w:p>
      <w:pPr>
        <w:pStyle w:val="Heading2"/>
      </w:pPr>
      <w:r>
        <w:t>5.1 What Al-Mantiq could manage for vendors</w:t>
      </w:r>
    </w:p>
    <w:p>
      <w:pPr>
        <w:pStyle w:val="ListBullet"/>
      </w:pPr>
      <w:r>
        <w:t>Vendor onboarding, organization profile, verification, approval, rejection, and offboarding.</w:t>
      </w:r>
    </w:p>
    <w:p>
      <w:pPr>
        <w:pStyle w:val="ListBullet"/>
      </w:pPr>
      <w:r>
        <w:t>Vendor administrator accounts and roles.</w:t>
      </w:r>
    </w:p>
    <w:p>
      <w:pPr>
        <w:pStyle w:val="ListBullet"/>
      </w:pPr>
      <w:r>
        <w:t>Registration and approval of vendor products or integrations.</w:t>
      </w:r>
    </w:p>
    <w:p>
      <w:pPr>
        <w:pStyle w:val="ListBullet"/>
      </w:pPr>
      <w:r>
        <w:t>Platform subscription, plans, invoices, fees, commissions, and payment status where contractually applicable.</w:t>
      </w:r>
    </w:p>
    <w:p>
      <w:pPr>
        <w:pStyle w:val="ListBullet"/>
      </w:pPr>
      <w:r>
        <w:t>Integration health, API credential issuance/revocation, and approved scopes.</w:t>
      </w:r>
    </w:p>
    <w:p>
      <w:pPr>
        <w:pStyle w:val="ListBullet"/>
      </w:pPr>
      <w:r>
        <w:t>Vendor-level usage and commercial analytics under agreed data-sharing rules.</w:t>
      </w:r>
    </w:p>
    <w:p>
      <w:pPr>
        <w:pStyle w:val="ListBullet"/>
      </w:pPr>
      <w:r>
        <w:t>Support cases, escalations, security incidents, and compliance records.</w:t>
      </w:r>
    </w:p>
    <w:p>
      <w:pPr>
        <w:pStyle w:val="ListBullet"/>
      </w:pPr>
      <w:r>
        <w:t>Vendor status changes: pending, active, restricted, suspended, or offboarded.</w:t>
      </w:r>
    </w:p>
    <w:p>
      <w:pPr>
        <w:pStyle w:val="Heading2"/>
      </w:pPr>
      <w:r>
        <w:t>5.2 What the portal cannot automatically control</w:t>
      </w:r>
    </w:p>
    <w:p>
      <w:r>
        <w:t>The central portal cannot safely perform every deep action inside independent vendor software merely because the vendor is registered. For deep actions—such as changing vendor business records—the vendor system must expose an API or another explicitly authorized integration. The vendor’s contract, permissions, and technical capabilities define what the control center can do.</w:t>
      </w:r>
    </w:p>
    <w:p>
      <w:pPr>
        <w:pStyle w:val="ListBullet"/>
      </w:pPr>
      <w:r>
        <w:t>Centralize common platform functions when products use compatible platform services.</w:t>
      </w:r>
    </w:p>
    <w:p>
      <w:pPr>
        <w:pStyle w:val="ListBullet"/>
      </w:pPr>
      <w:r>
        <w:t>Require supported APIs and explicit authorization for vendor-specific business functions.</w:t>
      </w:r>
    </w:p>
    <w:p>
      <w:pPr>
        <w:pStyle w:val="ListBullet"/>
      </w:pPr>
      <w:r>
        <w:t>Limit customer-data access to what is needed for an approved task.</w:t>
      </w:r>
    </w:p>
    <w:p>
      <w:pPr>
        <w:pStyle w:val="ListBullet"/>
      </w:pPr>
      <w:r>
        <w:t>Make support access time-limited, reason-based, approved when appropriate, and fully audited.</w:t>
      </w:r>
    </w:p>
    <w:p>
      <w:pPr>
        <w:pStyle w:val="Heading1"/>
      </w:pPr>
      <w:r>
        <w:t>6. Global Vendor Registry</w:t>
      </w:r>
    </w:p>
    <w:p>
      <w:r>
        <w:t>A Global Vendor Registry can be the central record for each vendor organization. It should summarize the vendor’s relationship with the platform without creating unrestricted access to all of the vendor’s data.</w:t>
      </w:r>
    </w:p>
    <w:tbl>
      <w:tblPr>
        <w:tblStyle w:val="LightShading-Accent1"/>
        <w:tblW w:type="auto" w:w="0"/>
        <w:tblLook w:firstColumn="1" w:firstRow="1" w:lastColumn="0" w:lastRow="0" w:noHBand="0" w:noVBand="1" w:val="04A0"/>
      </w:tblPr>
      <w:tblGrid>
        <w:gridCol w:w="4968"/>
        <w:gridCol w:w="4968"/>
      </w:tblGrid>
      <w:tr>
        <w:tc>
          <w:tcPr>
            <w:tcW w:type="dxa" w:w="4968"/>
            <w:shd w:fill="163A5F"/>
          </w:tcPr>
          <w:p>
            <w:r>
              <w:rPr>
                <w:b/>
                <w:color w:val="FFFFFF"/>
                <w:sz w:val="18"/>
              </w:rPr>
              <w:t>Registry area</w:t>
            </w:r>
          </w:p>
        </w:tc>
        <w:tc>
          <w:tcPr>
            <w:tcW w:type="dxa" w:w="4968"/>
            <w:shd w:fill="163A5F"/>
          </w:tcPr>
          <w:p>
            <w:r>
              <w:rPr>
                <w:b/>
                <w:color w:val="FFFFFF"/>
                <w:sz w:val="18"/>
              </w:rPr>
              <w:t>Suggested fields / purpose</w:t>
            </w:r>
          </w:p>
        </w:tc>
      </w:tr>
      <w:tr>
        <w:tc>
          <w:tcPr>
            <w:tcW w:type="dxa" w:w="4968"/>
          </w:tcPr>
          <w:p>
            <w:r>
              <w:rPr>
                <w:sz w:val="18"/>
              </w:rPr>
              <w:t>Identity and verification</w:t>
            </w:r>
          </w:p>
        </w:tc>
        <w:tc>
          <w:tcPr>
            <w:tcW w:type="dxa" w:w="4968"/>
          </w:tcPr>
          <w:p>
            <w:r>
              <w:rPr>
                <w:sz w:val="18"/>
              </w:rPr>
              <w:t>Legal/display name, contact details, verification status, agreement status, onboarding date.</w:t>
            </w:r>
          </w:p>
        </w:tc>
      </w:tr>
      <w:tr>
        <w:tc>
          <w:tcPr>
            <w:tcW w:type="dxa" w:w="4968"/>
          </w:tcPr>
          <w:p>
            <w:r>
              <w:rPr>
                <w:sz w:val="18"/>
              </w:rPr>
              <w:t>Connected products</w:t>
            </w:r>
          </w:p>
        </w:tc>
        <w:tc>
          <w:tcPr>
            <w:tcW w:type="dxa" w:w="4968"/>
          </w:tcPr>
          <w:p>
            <w:r>
              <w:rPr>
                <w:sz w:val="18"/>
              </w:rPr>
              <w:t>Registered products, versions, status, product owner, requested capabilities, approval status.</w:t>
            </w:r>
          </w:p>
        </w:tc>
      </w:tr>
      <w:tr>
        <w:tc>
          <w:tcPr>
            <w:tcW w:type="dxa" w:w="4968"/>
          </w:tcPr>
          <w:p>
            <w:r>
              <w:rPr>
                <w:sz w:val="18"/>
              </w:rPr>
              <w:t>Vendor users</w:t>
            </w:r>
          </w:p>
        </w:tc>
        <w:tc>
          <w:tcPr>
            <w:tcW w:type="dxa" w:w="4968"/>
          </w:tcPr>
          <w:p>
            <w:r>
              <w:rPr>
                <w:sz w:val="18"/>
              </w:rPr>
              <w:t>Vendor administrators, roles, account status, last access and security settings.</w:t>
            </w:r>
          </w:p>
        </w:tc>
      </w:tr>
      <w:tr>
        <w:tc>
          <w:tcPr>
            <w:tcW w:type="dxa" w:w="4968"/>
          </w:tcPr>
          <w:p>
            <w:r>
              <w:rPr>
                <w:sz w:val="18"/>
              </w:rPr>
              <w:t>Customer overview</w:t>
            </w:r>
          </w:p>
        </w:tc>
        <w:tc>
          <w:tcPr>
            <w:tcW w:type="dxa" w:w="4968"/>
          </w:tcPr>
          <w:p>
            <w:r>
              <w:rPr>
                <w:sz w:val="18"/>
              </w:rPr>
              <w:t>Permitted counts and high-level subscription/status metadata; no broad data access by default.</w:t>
            </w:r>
          </w:p>
        </w:tc>
      </w:tr>
      <w:tr>
        <w:tc>
          <w:tcPr>
            <w:tcW w:type="dxa" w:w="4968"/>
          </w:tcPr>
          <w:p>
            <w:r>
              <w:rPr>
                <w:sz w:val="18"/>
              </w:rPr>
              <w:t>Commercial records</w:t>
            </w:r>
          </w:p>
        </w:tc>
        <w:tc>
          <w:tcPr>
            <w:tcW w:type="dxa" w:w="4968"/>
          </w:tcPr>
          <w:p>
            <w:r>
              <w:rPr>
                <w:sz w:val="18"/>
              </w:rPr>
              <w:t>Platform plan, invoices, fees/commissions if agreed, payment status, contract dates.</w:t>
            </w:r>
          </w:p>
        </w:tc>
      </w:tr>
      <w:tr>
        <w:tc>
          <w:tcPr>
            <w:tcW w:type="dxa" w:w="4968"/>
          </w:tcPr>
          <w:p>
            <w:r>
              <w:rPr>
                <w:sz w:val="18"/>
              </w:rPr>
              <w:t>API and integrations</w:t>
            </w:r>
          </w:p>
        </w:tc>
        <w:tc>
          <w:tcPr>
            <w:tcW w:type="dxa" w:w="4968"/>
          </w:tcPr>
          <w:p>
            <w:r>
              <w:rPr>
                <w:sz w:val="18"/>
              </w:rPr>
              <w:t>Integration status, granted scopes, credential metadata, rotation/revocation events; never raw secrets.</w:t>
            </w:r>
          </w:p>
        </w:tc>
      </w:tr>
      <w:tr>
        <w:tc>
          <w:tcPr>
            <w:tcW w:type="dxa" w:w="4968"/>
          </w:tcPr>
          <w:p>
            <w:r>
              <w:rPr>
                <w:sz w:val="18"/>
              </w:rPr>
              <w:t>Support and security</w:t>
            </w:r>
          </w:p>
        </w:tc>
        <w:tc>
          <w:tcPr>
            <w:tcW w:type="dxa" w:w="4968"/>
          </w:tcPr>
          <w:p>
            <w:r>
              <w:rPr>
                <w:sz w:val="18"/>
              </w:rPr>
              <w:t>Open cases, escalations, incident status, compliance actions, and relevant audit history.</w:t>
            </w:r>
          </w:p>
        </w:tc>
      </w:tr>
      <w:tr>
        <w:tc>
          <w:tcPr>
            <w:tcW w:type="dxa" w:w="4968"/>
          </w:tcPr>
          <w:p>
            <w:r>
              <w:rPr>
                <w:sz w:val="18"/>
              </w:rPr>
              <w:t>Lifecycle status</w:t>
            </w:r>
          </w:p>
        </w:tc>
        <w:tc>
          <w:tcPr>
            <w:tcW w:type="dxa" w:w="4968"/>
          </w:tcPr>
          <w:p>
            <w:r>
              <w:rPr>
                <w:sz w:val="18"/>
              </w:rPr>
              <w:t>Pending, approved, active, restricted, suspended, or offboarded, with reasons and timestamps.</w:t>
            </w:r>
          </w:p>
        </w:tc>
      </w:tr>
    </w:tbl>
    <w:p>
      <w:pPr>
        <w:pStyle w:val="Heading1"/>
      </w:pPr>
      <w:r>
        <w:t>7. Platform Hierarchy and Tenant Isolation</w:t>
      </w:r>
    </w:p>
    <w:p>
      <w:r>
        <w:t>The intended hierarchy is:</w:t>
      </w:r>
    </w:p>
    <w:p>
      <w:pPr>
        <w:pStyle w:val="ListNumber"/>
      </w:pPr>
      <w:r>
        <w:t>Platform Super Admin (Al-Mantiq)</w:t>
      </w:r>
    </w:p>
    <w:p>
      <w:pPr>
        <w:pStyle w:val="ListNumber"/>
      </w:pPr>
      <w:r>
        <w:t>Vendor organizations (future) and Al-Mantiq product teams</w:t>
      </w:r>
    </w:p>
    <w:p>
      <w:pPr>
        <w:pStyle w:val="ListNumber"/>
      </w:pPr>
      <w:r>
        <w:t>Registered products / applications</w:t>
      </w:r>
    </w:p>
    <w:p>
      <w:pPr>
        <w:pStyle w:val="ListNumber"/>
      </w:pPr>
      <w:r>
        <w:t>Customer organizations / tenants</w:t>
      </w:r>
    </w:p>
    <w:p>
      <w:pPr>
        <w:pStyle w:val="ListNumber"/>
      </w:pPr>
      <w:r>
        <w:t>Branches, users, and product-specific records</w:t>
      </w:r>
    </w:p>
    <w:p>
      <w:r>
        <w:t>The exact organizational relationships may vary by product. The key rule is that every user and service must be authorized for the correct tenant, product, and action. A vendor must not see another vendor’s records, and one customer organization must not access another organization’s data.</w:t>
      </w:r>
    </w:p>
    <w:p>
      <w:pPr>
        <w:pStyle w:val="Heading2"/>
      </w:pPr>
      <w:r>
        <w:t>Required isolation controls</w:t>
      </w:r>
    </w:p>
    <w:p>
      <w:pPr>
        <w:pStyle w:val="ListBullet"/>
      </w:pPr>
      <w:r>
        <w:t>Enforce tenant and product boundaries in the backend and data-access layer.</w:t>
      </w:r>
    </w:p>
    <w:p>
      <w:pPr>
        <w:pStyle w:val="ListBullet"/>
      </w:pPr>
      <w:r>
        <w:t>Test cross-tenant access attempts, including API endpoints and background jobs.</w:t>
      </w:r>
    </w:p>
    <w:p>
      <w:pPr>
        <w:pStyle w:val="ListBullet"/>
      </w:pPr>
      <w:r>
        <w:t>Keep vendor permissions distinct from platform super-admin permissions.</w:t>
      </w:r>
    </w:p>
    <w:p>
      <w:pPr>
        <w:pStyle w:val="ListBullet"/>
      </w:pPr>
      <w:r>
        <w:t>Use explicit scopes and short-lived tokens where appropriate for service-to-service access.</w:t>
      </w:r>
    </w:p>
    <w:p>
      <w:pPr>
        <w:pStyle w:val="ListBullet"/>
      </w:pPr>
      <w:r>
        <w:t>Log privileged reads and changes involving sensitive customer or vendor data.</w:t>
      </w:r>
    </w:p>
    <w:p>
      <w:pPr>
        <w:pStyle w:val="Heading1"/>
      </w:pPr>
      <w:r>
        <w:t>8. Phased Implementation Roadmap</w:t>
      </w:r>
    </w:p>
    <w:p>
      <w:pPr>
        <w:pStyle w:val="Heading2"/>
      </w:pPr>
      <w:r>
        <w:t>Phase 1 — Internal control center for ILMA ERP</w:t>
      </w:r>
    </w:p>
    <w:p>
      <w:r>
        <w:t>Build the smallest useful version for Al-Mantiq’s own ILMA operations.</w:t>
      </w:r>
    </w:p>
    <w:p>
      <w:pPr>
        <w:pStyle w:val="ListBullet"/>
      </w:pPr>
      <w:r>
        <w:t>Customer/institute registry and branch overview.</w:t>
      </w:r>
    </w:p>
    <w:p>
      <w:pPr>
        <w:pStyle w:val="ListBullet"/>
      </w:pPr>
      <w:r>
        <w:t>Invitations and access lifecycle.</w:t>
      </w:r>
    </w:p>
    <w:p>
      <w:pPr>
        <w:pStyle w:val="ListBullet"/>
      </w:pPr>
      <w:r>
        <w:t>Staff accounts, role-based permissions, and audit logs.</w:t>
      </w:r>
    </w:p>
    <w:p>
      <w:pPr>
        <w:pStyle w:val="ListBullet"/>
      </w:pPr>
      <w:r>
        <w:t>Subscription/plan status and renewal tracking.</w:t>
      </w:r>
    </w:p>
    <w:p>
      <w:pPr>
        <w:pStyle w:val="ListBullet"/>
      </w:pPr>
      <w:r>
        <w:t>Basic dashboard, search, filters, and operational reports.</w:t>
      </w:r>
    </w:p>
    <w:p>
      <w:pPr>
        <w:pStyle w:val="ListBullet"/>
      </w:pPr>
      <w:r>
        <w:t>Support case tracking and essential notifications.</w:t>
      </w:r>
    </w:p>
    <w:p>
      <w:pPr>
        <w:pStyle w:val="ListBullet"/>
      </w:pPr>
      <w:r>
        <w:t>Basic system/integration health indicators where available.</w:t>
      </w:r>
    </w:p>
    <w:p>
      <w:pPr>
        <w:pStyle w:val="Heading2"/>
      </w:pPr>
      <w:r>
        <w:t>Phase 2 — More Al-Mantiq products and industries</w:t>
      </w:r>
    </w:p>
    <w:p>
      <w:pPr>
        <w:pStyle w:val="ListBullet"/>
      </w:pPr>
      <w:r>
        <w:t>Add a product registry and product/module/feature definitions.</w:t>
      </w:r>
    </w:p>
    <w:p>
      <w:pPr>
        <w:pStyle w:val="ListBullet"/>
      </w:pPr>
      <w:r>
        <w:t>Introduce configurable plans and feature entitlements by product.</w:t>
      </w:r>
    </w:p>
    <w:p>
      <w:pPr>
        <w:pStyle w:val="ListBullet"/>
      </w:pPr>
      <w:r>
        <w:t>Reuse identity, tenant management, notifications, audit, and billing components where appropriate.</w:t>
      </w:r>
    </w:p>
    <w:p>
      <w:pPr>
        <w:pStyle w:val="ListBullet"/>
      </w:pPr>
      <w:r>
        <w:t>Add product-level analytics and integrations.</w:t>
      </w:r>
    </w:p>
    <w:p>
      <w:pPr>
        <w:pStyle w:val="ListBullet"/>
      </w:pPr>
      <w:r>
        <w:t>Preserve distinct product-specific business logic and schemas.</w:t>
      </w:r>
    </w:p>
    <w:p>
      <w:pPr>
        <w:pStyle w:val="ListBullet"/>
      </w:pPr>
      <w:r>
        <w:t>Test organization isolation and permissions across products.</w:t>
      </w:r>
    </w:p>
    <w:p>
      <w:pPr>
        <w:pStyle w:val="Heading2"/>
      </w:pPr>
      <w:r>
        <w:t>Phase 3 — Third-party vendor onboarding</w:t>
      </w:r>
    </w:p>
    <w:p>
      <w:pPr>
        <w:pStyle w:val="ListBullet"/>
      </w:pPr>
      <w:r>
        <w:t>Add vendor registration, verification, approval, and offboarding workflows.</w:t>
      </w:r>
    </w:p>
    <w:p>
      <w:pPr>
        <w:pStyle w:val="ListBullet"/>
      </w:pPr>
      <w:r>
        <w:t>Provide vendor-specific dashboards with scoped permissions.</w:t>
      </w:r>
    </w:p>
    <w:p>
      <w:pPr>
        <w:pStyle w:val="ListBullet"/>
      </w:pPr>
      <w:r>
        <w:t>Register vendor products and review/approve requested integrations.</w:t>
      </w:r>
    </w:p>
    <w:p>
      <w:pPr>
        <w:pStyle w:val="ListBullet"/>
      </w:pPr>
      <w:r>
        <w:t>Issue and revoke API credentials with scopes, rotation, and audit records.</w:t>
      </w:r>
    </w:p>
    <w:p>
      <w:pPr>
        <w:pStyle w:val="ListBullet"/>
      </w:pPr>
      <w:r>
        <w:t>Add vendor commercial terms, platform fees, or commissions only if required.</w:t>
      </w:r>
    </w:p>
    <w:p>
      <w:pPr>
        <w:pStyle w:val="ListBullet"/>
      </w:pPr>
      <w:r>
        <w:t>Provide vendor analytics based on permitted and contractually agreed data.</w:t>
      </w:r>
    </w:p>
    <w:p>
      <w:pPr>
        <w:pStyle w:val="ListBullet"/>
      </w:pPr>
      <w:r>
        <w:t>Establish support escalation, security incident, and compliance workflows.</w:t>
      </w:r>
    </w:p>
    <w:p>
      <w:r>
        <w:t>Sequencing principle: design the data model and permissions so vendor support is possible later, but do not build a public marketplace, complex revenue-sharing engine, or automated partner onboarding until there is a real business requirement.</w:t>
      </w:r>
    </w:p>
    <w:p>
      <w:pPr>
        <w:pStyle w:val="Heading1"/>
      </w:pPr>
      <w:r>
        <w:t>9. Security, Permissions and Governance</w:t>
      </w:r>
    </w:p>
    <w:p>
      <w:pPr>
        <w:pStyle w:val="ListBullet"/>
      </w:pPr>
      <w:r>
        <w:t>Role-based access control: grant each internal and vendor role only the permissions needed for its job.</w:t>
      </w:r>
    </w:p>
    <w:p>
      <w:pPr>
        <w:pStyle w:val="ListBullet"/>
      </w:pPr>
      <w:r>
        <w:t>Least privilege: separate finance, support, sales, operations, security, and platform-owner capabilities.</w:t>
      </w:r>
    </w:p>
    <w:p>
      <w:pPr>
        <w:pStyle w:val="ListBullet"/>
      </w:pPr>
      <w:r>
        <w:t>Strong authentication for privileged users; consider multi-factor authentication.</w:t>
      </w:r>
    </w:p>
    <w:p>
      <w:pPr>
        <w:pStyle w:val="ListBullet"/>
      </w:pPr>
      <w:r>
        <w:t>Audit trail: record actor, action, target, timestamp, result, and reason for sensitive actions.</w:t>
      </w:r>
    </w:p>
    <w:p>
      <w:pPr>
        <w:pStyle w:val="ListBullet"/>
      </w:pPr>
      <w:r>
        <w:t>Support access: time-limited, scoped, reason-based, and auditable; approval can be required for sensitive access.</w:t>
      </w:r>
    </w:p>
    <w:p>
      <w:pPr>
        <w:pStyle w:val="ListBullet"/>
      </w:pPr>
      <w:r>
        <w:t>Secrets management: do not display raw API keys or tokens after creation; support revocation and rotation.</w:t>
      </w:r>
    </w:p>
    <w:p>
      <w:pPr>
        <w:pStyle w:val="ListBullet"/>
      </w:pPr>
      <w:r>
        <w:t>Tenant isolation: test for unauthorized cross-organization and cross-vendor access.</w:t>
      </w:r>
    </w:p>
    <w:p>
      <w:pPr>
        <w:pStyle w:val="ListBullet"/>
      </w:pPr>
      <w:r>
        <w:t>Data minimization: show vendors only information and metrics they are authorized to see.</w:t>
      </w:r>
    </w:p>
    <w:p>
      <w:pPr>
        <w:pStyle w:val="ListBullet"/>
      </w:pPr>
      <w:r>
        <w:t>Lifecycle management: revoke credentials and permissions when a user or vendor is suspended or offboarded.</w:t>
      </w:r>
    </w:p>
    <w:p>
      <w:pPr>
        <w:pStyle w:val="ListBullet"/>
      </w:pPr>
      <w:r>
        <w:t>Backup and recovery: define backup responsibilities, retention, restore testing, and recovery targets.</w:t>
      </w:r>
    </w:p>
    <w:p>
      <w:pPr>
        <w:pStyle w:val="Heading1"/>
      </w:pPr>
      <w:r>
        <w:t>10. Technical Boundaries and Integrations</w:t>
      </w:r>
    </w:p>
    <w:p>
      <w:r>
        <w:t>A control center is an administrative layer, not automatic access to every application. Its reach depends on how each product is integrated.</w:t>
      </w:r>
    </w:p>
    <w:tbl>
      <w:tblPr>
        <w:tblStyle w:val="LightShading-Accent1"/>
        <w:tblW w:type="auto" w:w="0"/>
        <w:tblLook w:firstColumn="1" w:firstRow="1" w:lastColumn="0" w:lastRow="0" w:noHBand="0" w:noVBand="1" w:val="04A0"/>
      </w:tblPr>
      <w:tblGrid>
        <w:gridCol w:w="4968"/>
        <w:gridCol w:w="4968"/>
      </w:tblGrid>
      <w:tr>
        <w:tc>
          <w:tcPr>
            <w:tcW w:type="dxa" w:w="4968"/>
            <w:shd w:fill="163A5F"/>
          </w:tcPr>
          <w:p>
            <w:r>
              <w:rPr>
                <w:b/>
                <w:color w:val="FFFFFF"/>
                <w:sz w:val="18"/>
              </w:rPr>
              <w:t>Capability</w:t>
            </w:r>
          </w:p>
        </w:tc>
        <w:tc>
          <w:tcPr>
            <w:tcW w:type="dxa" w:w="4968"/>
            <w:shd w:fill="163A5F"/>
          </w:tcPr>
          <w:p>
            <w:r>
              <w:rPr>
                <w:b/>
                <w:color w:val="FFFFFF"/>
                <w:sz w:val="18"/>
              </w:rPr>
              <w:t>What is required</w:t>
            </w:r>
          </w:p>
        </w:tc>
      </w:tr>
      <w:tr>
        <w:tc>
          <w:tcPr>
            <w:tcW w:type="dxa" w:w="4968"/>
          </w:tcPr>
          <w:p>
            <w:r>
              <w:rPr>
                <w:sz w:val="18"/>
              </w:rPr>
              <w:t>Central customer and vendor records</w:t>
            </w:r>
          </w:p>
        </w:tc>
        <w:tc>
          <w:tcPr>
            <w:tcW w:type="dxa" w:w="4968"/>
          </w:tcPr>
          <w:p>
            <w:r>
              <w:rPr>
                <w:sz w:val="18"/>
              </w:rPr>
              <w:t>Shared platform data model and clear ownership rules.</w:t>
            </w:r>
          </w:p>
        </w:tc>
      </w:tr>
      <w:tr>
        <w:tc>
          <w:tcPr>
            <w:tcW w:type="dxa" w:w="4968"/>
          </w:tcPr>
          <w:p>
            <w:r>
              <w:rPr>
                <w:sz w:val="18"/>
              </w:rPr>
              <w:t>Subscription status across products</w:t>
            </w:r>
          </w:p>
        </w:tc>
        <w:tc>
          <w:tcPr>
            <w:tcW w:type="dxa" w:w="4968"/>
          </w:tcPr>
          <w:p>
            <w:r>
              <w:rPr>
                <w:sz w:val="18"/>
              </w:rPr>
              <w:t>Consistent subscription APIs/events or a central subscription service.</w:t>
            </w:r>
          </w:p>
        </w:tc>
      </w:tr>
      <w:tr>
        <w:tc>
          <w:tcPr>
            <w:tcW w:type="dxa" w:w="4968"/>
          </w:tcPr>
          <w:p>
            <w:r>
              <w:rPr>
                <w:sz w:val="18"/>
              </w:rPr>
              <w:t>Deep product actions</w:t>
            </w:r>
          </w:p>
        </w:tc>
        <w:tc>
          <w:tcPr>
            <w:tcW w:type="dxa" w:w="4968"/>
          </w:tcPr>
          <w:p>
            <w:r>
              <w:rPr>
                <w:sz w:val="18"/>
              </w:rPr>
              <w:t>Documented product APIs, scoped authorization, and audit logging.</w:t>
            </w:r>
          </w:p>
        </w:tc>
      </w:tr>
      <w:tr>
        <w:tc>
          <w:tcPr>
            <w:tcW w:type="dxa" w:w="4968"/>
          </w:tcPr>
          <w:p>
            <w:r>
              <w:rPr>
                <w:sz w:val="18"/>
              </w:rPr>
              <w:t>Product analytics</w:t>
            </w:r>
          </w:p>
        </w:tc>
        <w:tc>
          <w:tcPr>
            <w:tcW w:type="dxa" w:w="4968"/>
          </w:tcPr>
          <w:p>
            <w:r>
              <w:rPr>
                <w:sz w:val="18"/>
              </w:rPr>
              <w:t>Consistent event definitions or reporting interfaces, with approved data access.</w:t>
            </w:r>
          </w:p>
        </w:tc>
      </w:tr>
      <w:tr>
        <w:tc>
          <w:tcPr>
            <w:tcW w:type="dxa" w:w="4968"/>
          </w:tcPr>
          <w:p>
            <w:r>
              <w:rPr>
                <w:sz w:val="18"/>
              </w:rPr>
              <w:t>Vendor integration credentials</w:t>
            </w:r>
          </w:p>
        </w:tc>
        <w:tc>
          <w:tcPr>
            <w:tcW w:type="dxa" w:w="4968"/>
          </w:tcPr>
          <w:p>
            <w:r>
              <w:rPr>
                <w:sz w:val="18"/>
              </w:rPr>
              <w:t>Secure secret storage, scopes, expiration/rotation, and revocation.</w:t>
            </w:r>
          </w:p>
        </w:tc>
      </w:tr>
      <w:tr>
        <w:tc>
          <w:tcPr>
            <w:tcW w:type="dxa" w:w="4968"/>
          </w:tcPr>
          <w:p>
            <w:r>
              <w:rPr>
                <w:sz w:val="18"/>
              </w:rPr>
              <w:t>Billing and commissions</w:t>
            </w:r>
          </w:p>
        </w:tc>
        <w:tc>
          <w:tcPr>
            <w:tcW w:type="dxa" w:w="4968"/>
          </w:tcPr>
          <w:p>
            <w:r>
              <w:rPr>
                <w:sz w:val="18"/>
              </w:rPr>
              <w:t>Defined contracts, calculation rules, reconciliation, and payment/accounting integrations as needed.</w:t>
            </w:r>
          </w:p>
        </w:tc>
      </w:tr>
      <w:tr>
        <w:tc>
          <w:tcPr>
            <w:tcW w:type="dxa" w:w="4968"/>
          </w:tcPr>
          <w:p>
            <w:r>
              <w:rPr>
                <w:sz w:val="18"/>
              </w:rPr>
              <w:t>Operational monitoring</w:t>
            </w:r>
          </w:p>
        </w:tc>
        <w:tc>
          <w:tcPr>
            <w:tcW w:type="dxa" w:w="4968"/>
          </w:tcPr>
          <w:p>
            <w:r>
              <w:rPr>
                <w:sz w:val="18"/>
              </w:rPr>
              <w:t>Health endpoints, logs/metrics, alerting, and an incident-response process.</w:t>
            </w:r>
          </w:p>
        </w:tc>
      </w:tr>
    </w:tbl>
    <w:p>
      <w:pPr>
        <w:pStyle w:val="Heading1"/>
      </w:pPr>
      <w:r>
        <w:t>11. Recommended Initial Scope</w:t>
      </w:r>
    </w:p>
    <w:p>
      <w:r>
        <w:t>For the first release, focus on operational problems Al-Mantiq needs to solve today. Keep the future platform direction in mind, but do not make the first version unnecessarily complex.</w:t>
      </w:r>
    </w:p>
    <w:p>
      <w:pPr>
        <w:pStyle w:val="ListBullet"/>
      </w:pPr>
      <w:r>
        <w:t>Secure internal login and role system.</w:t>
      </w:r>
    </w:p>
    <w:p>
      <w:pPr>
        <w:pStyle w:val="ListBullet"/>
      </w:pPr>
      <w:r>
        <w:t>Customer/institute registry with organization and branch relationships.</w:t>
      </w:r>
    </w:p>
    <w:p>
      <w:pPr>
        <w:pStyle w:val="ListBullet"/>
      </w:pPr>
      <w:r>
        <w:t>Invitation and access management.</w:t>
      </w:r>
    </w:p>
    <w:p>
      <w:pPr>
        <w:pStyle w:val="ListBullet"/>
      </w:pPr>
      <w:r>
        <w:t>Subscription and renewal status.</w:t>
      </w:r>
    </w:p>
    <w:p>
      <w:pPr>
        <w:pStyle w:val="ListBullet"/>
      </w:pPr>
      <w:r>
        <w:t>Overview dashboard with search and filters.</w:t>
      </w:r>
    </w:p>
    <w:p>
      <w:pPr>
        <w:pStyle w:val="ListBullet"/>
      </w:pPr>
      <w:r>
        <w:t>Audit logging for privileged changes.</w:t>
      </w:r>
    </w:p>
    <w:p>
      <w:pPr>
        <w:pStyle w:val="ListBullet"/>
      </w:pPr>
      <w:r>
        <w:t>Basic support tracking and system health indicators.</w:t>
      </w:r>
    </w:p>
    <w:p>
      <w:pPr>
        <w:pStyle w:val="ListBullet"/>
      </w:pPr>
      <w:r>
        <w:t>Product-aware data model that can later register more Al-Mantiq products.</w:t>
      </w:r>
    </w:p>
    <w:p>
      <w:pPr>
        <w:pStyle w:val="ListBullet"/>
      </w:pPr>
      <w:r>
        <w:t>Vendor organization and product ownership concepts in the design, without launching a full vendor marketplace.</w:t>
      </w:r>
    </w:p>
    <w:p>
      <w:pPr>
        <w:pStyle w:val="Heading2"/>
      </w:pPr>
      <w:r>
        <w:t>What to defer until later</w:t>
      </w:r>
    </w:p>
    <w:p>
      <w:pPr>
        <w:pStyle w:val="ListBullet"/>
      </w:pPr>
      <w:r>
        <w:t>Public vendor marketplace and self-service publishing.</w:t>
      </w:r>
    </w:p>
    <w:p>
      <w:pPr>
        <w:pStyle w:val="ListBullet"/>
      </w:pPr>
      <w:r>
        <w:t>Complex commission/revenue-split automation before terms are settled.</w:t>
      </w:r>
    </w:p>
    <w:p>
      <w:pPr>
        <w:pStyle w:val="ListBullet"/>
      </w:pPr>
      <w:r>
        <w:t>Universal control over every vendor’s internal business workflows.</w:t>
      </w:r>
    </w:p>
    <w:p>
      <w:pPr>
        <w:pStyle w:val="ListBullet"/>
      </w:pPr>
      <w:r>
        <w:t>Highly customized cross-industry reports before data definitions are standardized.</w:t>
      </w:r>
    </w:p>
    <w:p>
      <w:pPr>
        <w:pStyle w:val="ListBullet"/>
      </w:pPr>
      <w:r>
        <w:t>Large-scale automation before the first manual workflow is understood and validated.</w:t>
      </w:r>
    </w:p>
    <w:p>
      <w:pPr>
        <w:pStyle w:val="Heading1"/>
      </w:pPr>
      <w:r>
        <w:t>12. Decisions Before Detailed Technical Design</w:t>
      </w:r>
    </w:p>
    <w:p>
      <w:r>
        <w:t>These questions do not block the blueprint, but their answers will shape the database design, integration plan, security model, and delivery estimate.</w:t>
      </w:r>
    </w:p>
    <w:tbl>
      <w:tblPr>
        <w:tblStyle w:val="LightShading-Accent1"/>
        <w:tblW w:type="auto" w:w="0"/>
        <w:tblLook w:firstColumn="1" w:firstRow="1" w:lastColumn="0" w:lastRow="0" w:noHBand="0" w:noVBand="1" w:val="04A0"/>
      </w:tblPr>
      <w:tblGrid>
        <w:gridCol w:w="4968"/>
        <w:gridCol w:w="4968"/>
      </w:tblGrid>
      <w:tr>
        <w:tc>
          <w:tcPr>
            <w:tcW w:type="dxa" w:w="4968"/>
            <w:shd w:fill="163A5F"/>
          </w:tcPr>
          <w:p>
            <w:r>
              <w:rPr>
                <w:b/>
                <w:color w:val="FFFFFF"/>
                <w:sz w:val="18"/>
              </w:rPr>
              <w:t>Decision</w:t>
            </w:r>
          </w:p>
        </w:tc>
        <w:tc>
          <w:tcPr>
            <w:tcW w:type="dxa" w:w="4968"/>
            <w:shd w:fill="163A5F"/>
          </w:tcPr>
          <w:p>
            <w:r>
              <w:rPr>
                <w:b/>
                <w:color w:val="FFFFFF"/>
                <w:sz w:val="18"/>
              </w:rPr>
              <w:t>Question to resolve</w:t>
            </w:r>
          </w:p>
        </w:tc>
      </w:tr>
      <w:tr>
        <w:tc>
          <w:tcPr>
            <w:tcW w:type="dxa" w:w="4968"/>
          </w:tcPr>
          <w:p>
            <w:r>
              <w:rPr>
                <w:sz w:val="18"/>
              </w:rPr>
              <w:t>Integration style</w:t>
            </w:r>
          </w:p>
        </w:tc>
        <w:tc>
          <w:tcPr>
            <w:tcW w:type="dxa" w:w="4968"/>
          </w:tcPr>
          <w:p>
            <w:r>
              <w:rPr>
                <w:sz w:val="18"/>
              </w:rPr>
              <w:t>Will each product/vendor connect through APIs, shared platform services, webhooks, or a mix?</w:t>
            </w:r>
          </w:p>
        </w:tc>
      </w:tr>
      <w:tr>
        <w:tc>
          <w:tcPr>
            <w:tcW w:type="dxa" w:w="4968"/>
          </w:tcPr>
          <w:p>
            <w:r>
              <w:rPr>
                <w:sz w:val="18"/>
              </w:rPr>
              <w:t>Commercial model</w:t>
            </w:r>
          </w:p>
        </w:tc>
        <w:tc>
          <w:tcPr>
            <w:tcW w:type="dxa" w:w="4968"/>
          </w:tcPr>
          <w:p>
            <w:r>
              <w:rPr>
                <w:sz w:val="18"/>
              </w:rPr>
              <w:t>Will vendors pay a fixed platform fee, per-customer fee, revenue share/commission, or another model?</w:t>
            </w:r>
          </w:p>
        </w:tc>
      </w:tr>
      <w:tr>
        <w:tc>
          <w:tcPr>
            <w:tcW w:type="dxa" w:w="4968"/>
          </w:tcPr>
          <w:p>
            <w:r>
              <w:rPr>
                <w:sz w:val="18"/>
              </w:rPr>
              <w:t>Hosting model</w:t>
            </w:r>
          </w:p>
        </w:tc>
        <w:tc>
          <w:tcPr>
            <w:tcW w:type="dxa" w:w="4968"/>
          </w:tcPr>
          <w:p>
            <w:r>
              <w:rPr>
                <w:sz w:val="18"/>
              </w:rPr>
              <w:t>Will products be hosted by Al-Mantiq, hosted by each vendor, or supported in both models?</w:t>
            </w:r>
          </w:p>
        </w:tc>
      </w:tr>
      <w:tr>
        <w:tc>
          <w:tcPr>
            <w:tcW w:type="dxa" w:w="4968"/>
          </w:tcPr>
          <w:p>
            <w:r>
              <w:rPr>
                <w:sz w:val="18"/>
              </w:rPr>
              <w:t>Billing ownership</w:t>
            </w:r>
          </w:p>
        </w:tc>
        <w:tc>
          <w:tcPr>
            <w:tcW w:type="dxa" w:w="4968"/>
          </w:tcPr>
          <w:p>
            <w:r>
              <w:rPr>
                <w:sz w:val="18"/>
              </w:rPr>
              <w:t>Who invoices the end customer—the vendor, Al-Mantiq, or either depending on contract?</w:t>
            </w:r>
          </w:p>
        </w:tc>
      </w:tr>
      <w:tr>
        <w:tc>
          <w:tcPr>
            <w:tcW w:type="dxa" w:w="4968"/>
          </w:tcPr>
          <w:p>
            <w:r>
              <w:rPr>
                <w:sz w:val="18"/>
              </w:rPr>
              <w:t>Support authority</w:t>
            </w:r>
          </w:p>
        </w:tc>
        <w:tc>
          <w:tcPr>
            <w:tcW w:type="dxa" w:w="4968"/>
          </w:tcPr>
          <w:p>
            <w:r>
              <w:rPr>
                <w:sz w:val="18"/>
              </w:rPr>
              <w:t>What can Al-Mantiq support staff view or change, and what requires vendor/customer approval?</w:t>
            </w:r>
          </w:p>
        </w:tc>
      </w:tr>
      <w:tr>
        <w:tc>
          <w:tcPr>
            <w:tcW w:type="dxa" w:w="4968"/>
          </w:tcPr>
          <w:p>
            <w:r>
              <w:rPr>
                <w:sz w:val="18"/>
              </w:rPr>
              <w:t>Data ownership and sharing</w:t>
            </w:r>
          </w:p>
        </w:tc>
        <w:tc>
          <w:tcPr>
            <w:tcW w:type="dxa" w:w="4968"/>
          </w:tcPr>
          <w:p>
            <w:r>
              <w:rPr>
                <w:sz w:val="18"/>
              </w:rPr>
              <w:t>Which customer data and analytics may be shared with the platform operator and vendor?</w:t>
            </w:r>
          </w:p>
        </w:tc>
      </w:tr>
      <w:tr>
        <w:tc>
          <w:tcPr>
            <w:tcW w:type="dxa" w:w="4968"/>
          </w:tcPr>
          <w:p>
            <w:r>
              <w:rPr>
                <w:sz w:val="18"/>
              </w:rPr>
              <w:t>First-release scope</w:t>
            </w:r>
          </w:p>
        </w:tc>
        <w:tc>
          <w:tcPr>
            <w:tcW w:type="dxa" w:w="4968"/>
          </w:tcPr>
          <w:p>
            <w:r>
              <w:rPr>
                <w:sz w:val="18"/>
              </w:rPr>
              <w:t>Which ILMA operations are currently manual or difficult enough to prioritize first?</w:t>
            </w:r>
          </w:p>
        </w:tc>
      </w:tr>
    </w:tbl>
    <w:p>
      <w:pPr>
        <w:pStyle w:val="Heading1"/>
      </w:pPr>
      <w:r>
        <w:t>Final Recommendation</w:t>
      </w:r>
    </w:p>
    <w:p>
      <w:r>
        <w:t>Build the ILMA Super Admin Portal as the first version of the Al-Mantiq Control Center. Start with ILMA customer administration, access, subscriptions, internal roles, support, and auditability. Structure the platform around products, organizations/tenants, entitlements, and explicit permissions so additional Al-Mantiq products can be added later. Once the core is stable and partner demand exists, add vendor onboarding, vendor dashboards, product registration, scoped integrations, commercial management, and vendor-level analytics.</w:t>
      </w:r>
    </w:p>
    <w:p>
      <w:r>
        <w:t>Key principle: centralize common platform administration, but protect product-specific workflows and vendor/customer data through explicit APIs, permissions, contracts, and audit controls.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794"/>
        <w:sz w:val="16"/>
      </w:rPr>
      <w:t xml:space="preserve">ILMA ERP — Super Admin Portal Blueprint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1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1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