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36192"/>
          <w:sz w:val="36"/>
        </w:rPr>
        <w:t>ILMA ERP</w:t>
      </w:r>
    </w:p>
    <w:p>
      <w:pPr>
        <w:pStyle w:val="Title"/>
        <w:jc w:val="center"/>
      </w:pPr>
      <w:r>
        <w:t>Super Admin Portal</w:t>
      </w:r>
    </w:p>
    <w:p>
      <w:pPr>
        <w:jc w:val="center"/>
      </w:pPr>
      <w:r>
        <w:rPr>
          <w:b/>
          <w:color w:val="236192"/>
          <w:sz w:val="32"/>
        </w:rPr>
        <w:t>Developer Handout Edition</w:t>
      </w:r>
    </w:p>
    <w:p>
      <w:pPr>
        <w:jc w:val="center"/>
      </w:pPr>
      <w:r>
        <w:t>Full SaaS foundation • Multi-vendor ready • AI-enabled • Simple by design</w:t>
      </w:r>
    </w:p>
    <w:p/>
    <w:p>
      <w:r>
        <w:rPr>
          <w:b/>
        </w:rPr>
        <w:t xml:space="preserve">Purpose. </w:t>
      </w:r>
      <w:r>
        <w:t>A shared implementation blueprint for product, design, backend, frontend, QA, DevOps, and AI engineers. Start by managing ILMA Education ERP for Al-Mantiq while creating a clean foundation for future products, industries, and third-party vendors.</w:t>
      </w:r>
    </w:p>
    <w:p>
      <w:r>
        <w:t>Architecture reference, not a final technology prescription.</w:t>
      </w:r>
    </w:p>
    <w:p>
      <w:r>
        <w:br w:type="page"/>
      </w:r>
    </w:p>
    <w:p>
      <w:pPr>
        <w:pStyle w:val="Heading1"/>
      </w:pPr>
      <w:r>
        <w:t>How to Use This Handout</w:t>
      </w:r>
    </w:p>
    <w:p>
      <w:r>
        <w:t>Use this as a baseline for discovery, system design, engineering tickets, and acceptance testing. Confirm the existing ILMA stack, database, authentication, hosting, and operational processes before selecting specific technologies.</w:t>
      </w:r>
    </w:p>
    <w:p>
      <w:pPr>
        <w:pStyle w:val="ListBullet"/>
      </w:pPr>
      <w:r>
        <w:t>Build the first production release for Al-Mantiq and ILMA ERP only.</w:t>
      </w:r>
    </w:p>
    <w:p>
      <w:pPr>
        <w:pStyle w:val="ListBullet"/>
      </w:pPr>
      <w:r>
        <w:t>Design the data model around organizations, products, memberships, plans, entitlements, invitations, and audit events.</w:t>
      </w:r>
    </w:p>
    <w:p>
      <w:pPr>
        <w:pStyle w:val="ListBullet"/>
      </w:pPr>
      <w:r>
        <w:t>Keep the interface calm and task-focused: one overview, clear navigation, searchable tables, concise statuses, and confirmation for risky actions.</w:t>
      </w:r>
    </w:p>
    <w:p>
      <w:pPr>
        <w:pStyle w:val="ListBullet"/>
      </w:pPr>
      <w:r>
        <w:t>Keep the implementation modular, but do not split everything into microservices at the start.</w:t>
      </w:r>
    </w:p>
    <w:p>
      <w:pPr>
        <w:pStyle w:val="ListBullet"/>
      </w:pPr>
      <w:r>
        <w:t>Treat vendor management as a planned capability, not a reason to delay the ILMA release.</w:t>
      </w:r>
    </w:p>
    <w:p>
      <w:pPr>
        <w:pStyle w:val="ListBullet"/>
      </w:pPr>
      <w:r>
        <w:t>AI assists users; it never becomes an alternate authorization system.</w:t>
      </w:r>
    </w:p>
    <w:p>
      <w:pPr>
        <w:pStyle w:val="Heading1"/>
      </w:pPr>
      <w:r>
        <w:t>1. Product Requirements and Scope</w:t>
      </w:r>
    </w:p>
    <w:p>
      <w:pPr>
        <w:pStyle w:val="Heading2"/>
      </w:pPr>
      <w:r>
        <w:t>1.1 First-release capabilities</w:t>
      </w:r>
    </w:p>
    <w:p>
      <w:pPr>
        <w:pStyle w:val="ListBullet"/>
      </w:pPr>
      <w:r>
        <w:t>Central overview of ILMA institutes, access status, subscriptions, invitations, and operational alerts.</w:t>
      </w:r>
    </w:p>
    <w:p>
      <w:pPr>
        <w:pStyle w:val="ListBullet"/>
      </w:pPr>
      <w:r>
        <w:t>Create and manage customer/institute organizations and branches/campuses.</w:t>
      </w:r>
    </w:p>
    <w:p>
      <w:pPr>
        <w:pStyle w:val="ListBullet"/>
      </w:pPr>
      <w:r>
        <w:t>Invite institute administrators with secure, expiring invitations; track pending, accepted, expired, and revoked states.</w:t>
      </w:r>
    </w:p>
    <w:p>
      <w:pPr>
        <w:pStyle w:val="ListBullet"/>
      </w:pPr>
      <w:r>
        <w:t>Grant, change, suspend, and revoke access with backend authorization and audit logging.</w:t>
      </w:r>
    </w:p>
    <w:p>
      <w:pPr>
        <w:pStyle w:val="ListBullet"/>
      </w:pPr>
      <w:r>
        <w:t>Manage product assignment, plan/subscription status, renewals, and feature entitlements.</w:t>
      </w:r>
    </w:p>
    <w:p>
      <w:pPr>
        <w:pStyle w:val="ListBullet"/>
      </w:pPr>
      <w:r>
        <w:t>Show real-time or clearly timestamped customer analytics: counts, activity indicators, plan distribution, onboarding, and renewal status.</w:t>
      </w:r>
    </w:p>
    <w:p>
      <w:pPr>
        <w:pStyle w:val="ListBullet"/>
      </w:pPr>
      <w:r>
        <w:t>Maintain billing/invoice records and track internal expenses as a separate finance function.</w:t>
      </w:r>
    </w:p>
    <w:p>
      <w:pPr>
        <w:pStyle w:val="ListBullet"/>
      </w:pPr>
      <w:r>
        <w:t>Manage internal staff, role permissions, support cases, follow-ups, and escalations.</w:t>
      </w:r>
    </w:p>
    <w:p>
      <w:pPr>
        <w:pStyle w:val="ListBullet"/>
      </w:pPr>
      <w:r>
        <w:t>Track integration and system health where the underlying services provide reliable status.</w:t>
      </w:r>
    </w:p>
    <w:p>
      <w:pPr>
        <w:pStyle w:val="ListBullet"/>
      </w:pPr>
      <w:r>
        <w:t>Keep searchable audit history for privileged actions.</w:t>
      </w:r>
    </w:p>
    <w:p>
      <w:pPr>
        <w:pStyle w:val="ListBullet"/>
      </w:pPr>
      <w:r>
        <w:t>Provide an elegant, responsive, low-clutter UI with sensible defaults and progressive disclosure.</w:t>
      </w:r>
    </w:p>
    <w:p>
      <w:pPr>
        <w:pStyle w:val="Heading2"/>
      </w:pPr>
      <w:r>
        <w:t>1.2 Future-phase capabilities</w:t>
      </w:r>
    </w:p>
    <w:p>
      <w:pPr>
        <w:pStyle w:val="ListBullet"/>
      </w:pPr>
      <w:r>
        <w:t>Additional Al-Mantiq products and industry modules.</w:t>
      </w:r>
    </w:p>
    <w:p>
      <w:pPr>
        <w:pStyle w:val="ListBullet"/>
      </w:pPr>
      <w:r>
        <w:t>Vendor registry, onboarding, approval, product registration, isolated vendor dashboard and vendor-specific roles.</w:t>
      </w:r>
    </w:p>
    <w:p>
      <w:pPr>
        <w:pStyle w:val="ListBullet"/>
      </w:pPr>
      <w:r>
        <w:t>Vendor fees/commissions and settlement if the commercial model requires them.</w:t>
      </w:r>
    </w:p>
    <w:p>
      <w:pPr>
        <w:pStyle w:val="ListBullet"/>
      </w:pPr>
      <w:r>
        <w:t>Public vendor marketplace and self-service publishing.</w:t>
      </w:r>
    </w:p>
    <w:p>
      <w:pPr>
        <w:pStyle w:val="ListBullet"/>
      </w:pPr>
      <w:r>
        <w:t>Advanced AI workflows and autonomous operations.</w:t>
      </w:r>
    </w:p>
    <w:p>
      <w:pPr>
        <w:pStyle w:val="Heading2"/>
      </w:pPr>
      <w:r>
        <w:t>1.3 Out of scope for initial release</w:t>
      </w:r>
    </w:p>
    <w:p>
      <w:pPr>
        <w:pStyle w:val="ListBullet"/>
      </w:pPr>
      <w:r>
        <w:t>Unrestricted ability to modify data inside every connected vendor application.</w:t>
      </w:r>
    </w:p>
    <w:p>
      <w:pPr>
        <w:pStyle w:val="ListBullet"/>
      </w:pPr>
      <w:r>
        <w:t>Automatic revenue sharing before legal/commercial terms and reconciliation rules are defined.</w:t>
      </w:r>
    </w:p>
    <w:p>
      <w:pPr>
        <w:pStyle w:val="ListBullet"/>
      </w:pPr>
      <w:r>
        <w:t>Complex microservice infrastructure without demonstrated need.</w:t>
      </w:r>
    </w:p>
    <w:p>
      <w:pPr>
        <w:pStyle w:val="ListBullet"/>
      </w:pPr>
      <w:r>
        <w:t>AI making access, suspension, payment, or financial decisions without policy checks and human approval.</w:t>
      </w:r>
    </w:p>
    <w:p>
      <w:pPr>
        <w:pStyle w:val="Heading1"/>
      </w:pPr>
      <w:r>
        <w:t>2. UX and Navigation Blueprint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Navigation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Primary job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Overview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See health, exceptions, and customer metrics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Institutes / Customers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Search, onboard, edit, suspend, view profile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Access &amp; Invitations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Invite admins; track, expire, revoke access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Products &amp; Plans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ILMA product, plans, entitlements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Subscriptions &amp; Billing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Plan state, invoices, renewal/payment 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Expenses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Internal expense tracking or accounting link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Validate process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Customer growth, usage, renewals, onboarding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Basic must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Support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Cases, follow-ups, escalations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Team &amp; Roles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Internal accounts and permissions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Integrations &amp; Health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Integration status and alerts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Basic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Audit Log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Who changed what and when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Vendors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Hidden/disabled until Phase 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Future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Settings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Platform configuration and notifications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Basic</w:t>
            </w:r>
          </w:p>
        </w:tc>
      </w:tr>
    </w:tbl>
    <w:p>
      <w:pPr>
        <w:pStyle w:val="Heading2"/>
      </w:pPr>
      <w:r>
        <w:t>UI principles</w:t>
      </w:r>
    </w:p>
    <w:p>
      <w:pPr>
        <w:pStyle w:val="ListBullet"/>
      </w:pPr>
      <w:r>
        <w:t>Show common actions first; avoid putting every future capability on the home screen.</w:t>
      </w:r>
    </w:p>
    <w:p>
      <w:pPr>
        <w:pStyle w:val="ListBullet"/>
      </w:pPr>
      <w:r>
        <w:t>Use consistent status names and do not rely on color alone.</w:t>
      </w:r>
    </w:p>
    <w:p>
      <w:pPr>
        <w:pStyle w:val="ListBullet"/>
      </w:pPr>
      <w:r>
        <w:t>Use a table → organization profile → tabs pattern for overview, subscription, access, support, and audit.</w:t>
      </w:r>
    </w:p>
    <w:p>
      <w:pPr>
        <w:pStyle w:val="ListBullet"/>
      </w:pPr>
      <w:r>
        <w:t>Require confirmation and a reason for suspension, revocation, role changes, or financial adjustments.</w:t>
      </w:r>
    </w:p>
    <w:p>
      <w:pPr>
        <w:pStyle w:val="ListBullet"/>
      </w:pPr>
      <w:r>
        <w:t>Provide useful empty states, validation messages, keyboard navigation, readable contrast, and responsive layouts.</w:t>
      </w:r>
    </w:p>
    <w:p>
      <w:pPr>
        <w:pStyle w:val="Heading1"/>
      </w:pPr>
      <w:r>
        <w:t>3. Logical Architecture</w:t>
      </w:r>
    </w:p>
    <w:p>
      <w:r>
        <w:t>Recommended starting point: a modular monolith with clear internal modules and APIs. Deploy as one application initially if that fits the existing team and hosting; separate components only when reliability, scaling, security, or ownership justifies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82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ma_dev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88"/>
          <w:sz w:val="16"/>
        </w:rPr>
        <w:t>Figure 1. Logical SaaS architecture. Boxes represent logical boundaries, not a requirement for separate servers.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Implementation note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Identity &amp; Access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Authentication, sessions, roles, memberships, invitations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Reuse existing identity provider if suitable; enforce permissions server-side.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Organization/Tenant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Organizations, branches, tenant lifecycle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Organization is the main customer boundary.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Product Catalogue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Products, modules, plans, entitlements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ILMA is the first enabled product.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Provisioning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Enable product for tenant and initialize settings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Must be idempotent and auditable.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Subscriptions &amp; Billing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Subscription state, invoices, payments, renewals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Keep invoice/payment state separate from access entitlement.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Operational metrics and approved aggregates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Define metric meaning and freshness.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Support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Cases, ownership, escalation, approved support access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unrestricted impersonation.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Integrations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External systems, webhook delivery, credential references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Secrets live in a secrets manager.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Audit &amp; Security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Append-only event history for privileged actions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Restrict log access and prevent ordinary edits.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AI Gateway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Intent, retrieval, summarization, safe tool proposals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AI calls authorized APIs; no unrestricted database access.</w:t>
            </w:r>
          </w:p>
        </w:tc>
      </w:tr>
    </w:tbl>
    <w:p>
      <w:pPr>
        <w:pStyle w:val="Heading2"/>
      </w:pPr>
      <w:r>
        <w:t>3.1 Deployment principles</w:t>
      </w:r>
    </w:p>
    <w:p>
      <w:pPr>
        <w:pStyle w:val="ListBullet"/>
      </w:pPr>
      <w:r>
        <w:t>Start with one codebase and explicit module boundaries; avoid premature microservices.</w:t>
      </w:r>
    </w:p>
    <w:p>
      <w:pPr>
        <w:pStyle w:val="ListBullet"/>
      </w:pPr>
      <w:r>
        <w:t>Use a relational database for transactional records unless the existing ILMA stack imposes a strong constraint.</w:t>
      </w:r>
    </w:p>
    <w:p>
      <w:pPr>
        <w:pStyle w:val="ListBullet"/>
      </w:pPr>
      <w:r>
        <w:t>Use background jobs for email, webhooks, analytics refreshes, and long-running provisioning when needed.</w:t>
      </w:r>
    </w:p>
    <w:p>
      <w:pPr>
        <w:pStyle w:val="ListBullet"/>
      </w:pPr>
      <w:r>
        <w:t>Implement centralized logs, error tracking, backups, and health checks before expanding to vendors.</w:t>
      </w:r>
    </w:p>
    <w:p>
      <w:pPr>
        <w:pStyle w:val="ListBullet"/>
      </w:pPr>
      <w:r>
        <w:t>Choose technology after inspecting ILMA’s existing application, auth, hosting, and data model; do not rewrite stable components without a clear benefit.</w:t>
      </w:r>
    </w:p>
    <w:p>
      <w:pPr>
        <w:pStyle w:val="Heading1"/>
      </w:pPr>
      <w:r>
        <w:t>4. Data Model and ERDs</w:t>
      </w:r>
    </w:p>
    <w:p>
      <w:r>
        <w:t>These ERDs are logical starting points. Adapt names and cardinalities to the current ILMA database and actual billing rules. Use stable IDs, timestamps, lifecycle statuses, foreign keys, and tenant-scoped authorization.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95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ma_dev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88"/>
          <w:sz w:val="16"/>
        </w:rPr>
        <w:t>Figure 2. Core SaaS ERD: organization, user, membership, role, product, tenant assignment, subscription, plan.</w:t>
      </w:r>
    </w:p>
    <w:p>
      <w:pPr>
        <w:pStyle w:val="Heading2"/>
      </w:pPr>
      <w:r>
        <w:t>4.1 Entity catalogue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Illustrative fields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Rules / notes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Organization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organization_id, name, type, status, parent_organization_id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Represents Al-Mantiq, a future vendor, or a customer/institute.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Branch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branch_id, organization_id, name, 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Add if ILMA needs branch/campus structure.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user_id, email, status, identity_provider_id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Global identity; do not duplicate one user per organization.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Membership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membership_id, user_id, organization_id, role_id, 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Join record: one user can belong to multiple organizations.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Role / Permission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role_id, scope_type, permission_code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Explicit permissions are more flexible than hard-coded role names.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product_id, owner_organization_id, name, industry, 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ILMA Education ERP is first product.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TenantProduct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id, organization_id, product_id, 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Records that an organization is provisioned for a product.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Plan / Entitlement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plan_id, product_id; feature_code, limit_value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Features and limits available under a plan.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subscription_id, organization_id, product_id, plan_id, status, dates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Plan must belong to the same product; state transitions validated.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Invitation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invitation_id, email, org/product/role, token_hash, expires_at, 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Store token hash, not raw token; expiry and revocation supported.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Invoice / Payment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invoice_id, subscription_id, amount, currency, status; payment reference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Use fixed-point/decimal money and explicit currency.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Expense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expense_id, category, amount, currency, incurred_at, 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Internal expenses are distinct from customer invoices.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SupportCase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case_id, organization_id, product_id, priority, status, owner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Limit sensitive information in case notes.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Integration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integration_id, owner_org_id, product_id, scopes, status, secret_ref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Secret material stored outside normal DB tables.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AuditEvent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actor, action, target, timestamp, reason, metadata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Never log passwords, tokens, or unnecessary sensitive data.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AIRequestLog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actor, tenant scope, purpose, outcome, approval_id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Minimize prompt storage; log governance metadata.</w:t>
            </w:r>
          </w:p>
        </w:tc>
      </w:tr>
    </w:tbl>
    <w:p>
      <w:pPr>
        <w:pStyle w:val="Heading2"/>
      </w:pPr>
      <w:r>
        <w:t>4.2 Operational ERD</w:t>
      </w:r>
    </w:p>
    <w:p>
      <w:r>
        <w:t>Implementation relationships for operational records:</w:t>
      </w:r>
    </w:p>
    <w:p>
      <w:pPr>
        <w:pStyle w:val="ListBullet"/>
      </w:pPr>
      <w:r>
        <w:t>Invitation is scoped to an organization, product, role, intended email, expiry, and status.</w:t>
      </w:r>
    </w:p>
    <w:p>
      <w:pPr>
        <w:pStyle w:val="ListBullet"/>
      </w:pPr>
      <w:r>
        <w:t>Invoice belongs to a subscription; payment events should be idempotent and reconciled.</w:t>
      </w:r>
    </w:p>
    <w:p>
      <w:pPr>
        <w:pStyle w:val="ListBullet"/>
      </w:pPr>
      <w:r>
        <w:t>Support cases belong to an organization and product; support access is separately authorized.</w:t>
      </w:r>
    </w:p>
    <w:p>
      <w:pPr>
        <w:pStyle w:val="ListBullet"/>
      </w:pPr>
      <w:r>
        <w:t>Integration belongs to a product/owner organization and records scopes and a secret reference, not the secret itself.</w:t>
      </w:r>
    </w:p>
    <w:p>
      <w:pPr>
        <w:pStyle w:val="ListBullet"/>
      </w:pPr>
      <w:r>
        <w:t>AI request log records actor, purpose, tenant scope, tool calls, outcome, and approval metadata.</w:t>
      </w:r>
    </w:p>
    <w:p>
      <w:pPr>
        <w:pStyle w:val="Heading2"/>
      </w:pPr>
      <w:r>
        <w:t>4.3 Relationships to enforce</w:t>
      </w:r>
    </w:p>
    <w:p>
      <w:pPr>
        <w:pStyle w:val="ListBullet"/>
      </w:pPr>
      <w:r>
        <w:t>Organization 1→many branches, memberships, product assignments, subscriptions, and support cases.</w:t>
      </w:r>
    </w:p>
    <w:p>
      <w:pPr>
        <w:pStyle w:val="ListBullet"/>
      </w:pPr>
      <w:r>
        <w:t>User many↔many organizations through Membership; membership carries role and status.</w:t>
      </w:r>
    </w:p>
    <w:p>
      <w:pPr>
        <w:pStyle w:val="ListBullet"/>
      </w:pPr>
      <w:r>
        <w:t>Product 1→many plans and tenant-product assignments; product ownership is explicit.</w:t>
      </w:r>
    </w:p>
    <w:p>
      <w:pPr>
        <w:pStyle w:val="ListBullet"/>
      </w:pPr>
      <w:r>
        <w:t>Subscription belongs to one customer organization and product; the selected plan must belong to that product.</w:t>
      </w:r>
    </w:p>
    <w:p>
      <w:pPr>
        <w:pStyle w:val="ListBullet"/>
      </w:pPr>
      <w:r>
        <w:t>Vendor-owned products must be owned by a vendor organization and approved before activation.</w:t>
      </w:r>
    </w:p>
    <w:p>
      <w:pPr>
        <w:pStyle w:val="ListBullet"/>
      </w:pPr>
      <w:r>
        <w:t>Every tenant-owned record must be checked against authenticated tenant context at the service/API layer.</w:t>
      </w:r>
    </w:p>
    <w:p>
      <w:pPr>
        <w:pStyle w:val="Heading2"/>
      </w:pPr>
      <w:r>
        <w:t>4.4 Constraints and indexes</w:t>
      </w:r>
    </w:p>
    <w:p>
      <w:pPr>
        <w:pStyle w:val="ListBullet"/>
      </w:pPr>
      <w:r>
        <w:t>Foreign keys for organization/product/plan relationships and uniqueness rules for assignments where required.</w:t>
      </w:r>
    </w:p>
    <w:p>
      <w:pPr>
        <w:pStyle w:val="ListBullet"/>
      </w:pPr>
      <w:r>
        <w:t>Indexes on organization_id, product_id, status, created_at, renewal date, and common search fields.</w:t>
      </w:r>
    </w:p>
    <w:p>
      <w:pPr>
        <w:pStyle w:val="ListBullet"/>
      </w:pPr>
      <w:r>
        <w:t>Idempotency keys for provisioning, payment callbacks, and webhook processing.</w:t>
      </w:r>
    </w:p>
    <w:p>
      <w:pPr>
        <w:pStyle w:val="ListBullet"/>
      </w:pPr>
      <w:r>
        <w:t>Protect sensitive state transitions with transactions and concurrency checks.</w:t>
      </w:r>
    </w:p>
    <w:p>
      <w:pPr>
        <w:pStyle w:val="ListBullet"/>
      </w:pPr>
      <w:r>
        <w:t>Use soft deletion only where appropriate; use explicit lifecycle states for suspension/offboarding.</w:t>
      </w:r>
    </w:p>
    <w:p>
      <w:pPr>
        <w:pStyle w:val="Heading1"/>
      </w:pPr>
      <w:r>
        <w:t>5. Flow Diagrams and State Transitions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43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ma_dev_onboar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88"/>
          <w:sz w:val="16"/>
        </w:rPr>
        <w:t>Figure 3. Institute onboarding.</w:t>
      </w:r>
    </w:p>
    <w:p>
      <w:pPr>
        <w:pStyle w:val="Heading2"/>
      </w:pPr>
      <w:r>
        <w:t>5.1 Onboarding acceptance criteria</w:t>
      </w:r>
    </w:p>
    <w:p>
      <w:pPr>
        <w:pStyle w:val="ListBullet"/>
      </w:pPr>
      <w:r>
        <w:t>Only authorized staff can create an organization and issue invitations.</w:t>
      </w:r>
    </w:p>
    <w:p>
      <w:pPr>
        <w:pStyle w:val="ListBullet"/>
      </w:pPr>
      <w:r>
        <w:t>Invite links expire and can be revoked; token values are never logged.</w:t>
      </w:r>
    </w:p>
    <w:p>
      <w:pPr>
        <w:pStyle w:val="ListBullet"/>
      </w:pPr>
      <w:r>
        <w:t>Acceptance validates token, expiry, intended email, organization, product, and role.</w:t>
      </w:r>
    </w:p>
    <w:p>
      <w:pPr>
        <w:pStyle w:val="ListBullet"/>
      </w:pPr>
      <w:r>
        <w:t>Provisioning is idempotent: retrying must not create duplicate assignments.</w:t>
      </w:r>
    </w:p>
    <w:p>
      <w:pPr>
        <w:pStyle w:val="ListBullet"/>
      </w:pPr>
      <w:r>
        <w:t>Each state change is audited and the user receives a clear success/error message.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43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ma_dev_a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88"/>
          <w:sz w:val="16"/>
        </w:rPr>
        <w:t>Figure 4. Grant, change, suspend, or revoke access.</w:t>
      </w:r>
    </w:p>
    <w:p>
      <w:pPr>
        <w:pStyle w:val="ListBullet"/>
      </w:pPr>
      <w:r>
        <w:t>Authorization is checked server-side for every action, including direct API calls.</w:t>
      </w:r>
    </w:p>
    <w:p>
      <w:pPr>
        <w:pStyle w:val="ListBullet"/>
      </w:pPr>
      <w:r>
        <w:t>Suspension/revocation invalidates relevant sessions, refresh tokens, API tokens, or memberships as appropriate.</w:t>
      </w:r>
    </w:p>
    <w:p>
      <w:pPr>
        <w:pStyle w:val="ListBullet"/>
      </w:pPr>
      <w:r>
        <w:t>High-impact actions require confirmation and a reason; preserve audit evidence.</w:t>
      </w:r>
    </w:p>
    <w:p>
      <w:pPr>
        <w:pStyle w:val="Heading2"/>
      </w:pPr>
      <w:r>
        <w:t>5.2 Subscription lifecycle</w:t>
      </w:r>
    </w:p>
    <w:p>
      <w:pPr>
        <w:ind w:left="259" w:right="259"/>
      </w:pPr>
      <w:r>
        <w:rPr>
          <w:rFonts w:ascii="Consolas" w:hAnsi="Consolas"/>
          <w:color w:val="34495E"/>
          <w:sz w:val="16"/>
        </w:rPr>
        <w:t>TRIAL → ACTIVE → RENEWAL DUE → ACTIVE</w:t>
        <w:br/>
        <w:t xml:space="preserve">  │          │</w:t>
        <w:br/>
        <w:t xml:space="preserve">  ├─ expires └─ payment fails → GRACE PERIOD → ACTIVE</w:t>
        <w:br/>
        <w:t xml:space="preserve">  │                                      └──→ PAST DUE / SUSPENDED</w:t>
        <w:br/>
        <w:t xml:space="preserve">  └────────────────────────────────────────→ EXPIRED</w:t>
        <w:br/>
        <w:br/>
        <w:t>Other explicit states may include CANCELLED and TERMINATED.</w:t>
        <w:br/>
        <w:t>Define allowed transitions, actor, trigger, grace period, notifications and access behavior.</w:t>
        <w:br/>
        <w:t>Invoice state and subscription state must be separate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43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ma_dev_ven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88"/>
          <w:sz w:val="16"/>
        </w:rPr>
        <w:t>Figure 5. Future vendor onboarding (Phase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437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ma_dev_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88"/>
          <w:sz w:val="16"/>
        </w:rPr>
        <w:t>Figure 6. AI assistant uses the same authorization model as the UI and API.</w:t>
      </w:r>
    </w:p>
    <w:p>
      <w:pPr>
        <w:pStyle w:val="Heading1"/>
      </w:pPr>
      <w:r>
        <w:t>6. AI Features: Useful, Bounded, Auditable</w:t>
      </w:r>
    </w:p>
    <w:p>
      <w:r>
        <w:t>Introduce AI in small, measurable steps. Prefer read-only assistance first; security, billing, access and tenant-isolation rules remain deterministic application logic.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63A5F"/>
          </w:tcPr>
          <w:p>
            <w:r>
              <w:rPr>
                <w:b/>
                <w:color w:val="FFFFFF"/>
                <w:sz w:val="17"/>
              </w:rPr>
              <w:t>AI feature</w:t>
            </w:r>
          </w:p>
        </w:tc>
        <w:tc>
          <w:tcPr>
            <w:tcW w:type="dxa" w:w="2520"/>
            <w:shd w:fill="163A5F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520"/>
            <w:shd w:fill="163A5F"/>
          </w:tcPr>
          <w:p>
            <w:r>
              <w:rPr>
                <w:b/>
                <w:color w:val="FFFFFF"/>
                <w:sz w:val="17"/>
              </w:rPr>
              <w:t>Guardrails</w:t>
            </w:r>
          </w:p>
        </w:tc>
        <w:tc>
          <w:tcPr>
            <w:tcW w:type="dxa" w:w="2520"/>
            <w:shd w:fill="163A5F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Natural-language analytics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Ask how many active institutes renew this month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Approved metrics only; show date range/filters; never invent numbers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Support case summary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Summarize case history and suggest next steps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Only cases user can access; human decides resolution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Onboarding copilot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Guide staff through required fields and invite setup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Suggestions are reviewed before saving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Search assistant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Find institute, invoice, or case in natural language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Same tenant scope and permissions as normal search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1.5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Anomaly/renewal signals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Flag unusual failures or overdue work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Explain signal and data window; flag is not a verdict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Vendor integration assistant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Explain setup steps and API errors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Vendor sees only its own logs/docs; never reveal secrets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AI action proposal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Draft a plan change or suspension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Human confirmation and fresh permission check before execution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Later</w:t>
            </w:r>
          </w:p>
        </w:tc>
      </w:tr>
    </w:tbl>
    <w:p>
      <w:pPr>
        <w:pStyle w:val="Heading2"/>
      </w:pPr>
      <w:r>
        <w:t>6.1 AI safety requirements</w:t>
      </w:r>
    </w:p>
    <w:p>
      <w:pPr>
        <w:pStyle w:val="ListBullet"/>
      </w:pPr>
      <w:r>
        <w:t>Tenant scope and user identity come from trusted server-side context, not prompt text.</w:t>
      </w:r>
    </w:p>
    <w:p>
      <w:pPr>
        <w:pStyle w:val="ListBullet"/>
      </w:pPr>
      <w:r>
        <w:t>Use an allowlist of tools/endpoints; no arbitrary database access or unrestricted SQL.</w:t>
      </w:r>
    </w:p>
    <w:p>
      <w:pPr>
        <w:pStyle w:val="ListBullet"/>
      </w:pPr>
      <w:r>
        <w:t>Re-check authorization when an AI-proposed action is executed.</w:t>
      </w:r>
    </w:p>
    <w:p>
      <w:pPr>
        <w:pStyle w:val="ListBullet"/>
      </w:pPr>
      <w:r>
        <w:t>Require explicit confirmation for suspend/revoke, role changes, subscription changes, invoice adjustments, and vendor status changes.</w:t>
      </w:r>
    </w:p>
    <w:p>
      <w:pPr>
        <w:pStyle w:val="ListBullet"/>
      </w:pPr>
      <w:r>
        <w:t>Minimize data sent to the model; redact secrets and unnecessary personal data.</w:t>
      </w:r>
    </w:p>
    <w:p>
      <w:pPr>
        <w:pStyle w:val="ListBullet"/>
      </w:pPr>
      <w:r>
        <w:t>Log purpose, authorized scope, tools invoked, outcome and approvals without storing sensitive prompts unnecessarily.</w:t>
      </w:r>
    </w:p>
    <w:p>
      <w:pPr>
        <w:pStyle w:val="ListBullet"/>
      </w:pPr>
      <w:r>
        <w:t>Show source records/filters for analytics and uncertainty where relevant.</w:t>
      </w:r>
    </w:p>
    <w:p>
      <w:pPr>
        <w:pStyle w:val="ListBullet"/>
      </w:pPr>
      <w:r>
        <w:t>Provide an AI-off fallback; the portal must work if the AI provider is unavailable.</w:t>
      </w:r>
    </w:p>
    <w:p>
      <w:pPr>
        <w:pStyle w:val="ListBullet"/>
      </w:pPr>
      <w:r>
        <w:t>Define model-provider data handling, retention, and permitted use before sending customer data.</w:t>
      </w:r>
    </w:p>
    <w:p>
      <w:pPr>
        <w:pStyle w:val="Heading1"/>
      </w:pPr>
      <w:r>
        <w:t>7. Security and Multi-Tenant Rules</w:t>
      </w:r>
    </w:p>
    <w:p>
      <w:pPr>
        <w:pStyle w:val="ListBullet"/>
      </w:pPr>
      <w:r>
        <w:t>Authentication proves identity; authorization determines permitted actions.</w:t>
      </w:r>
    </w:p>
    <w:p>
      <w:pPr>
        <w:pStyle w:val="ListBullet"/>
      </w:pPr>
      <w:r>
        <w:t>Every API request establishes caller, active organization/tenant, product, and permission.</w:t>
      </w:r>
    </w:p>
    <w:p>
      <w:pPr>
        <w:pStyle w:val="ListBullet"/>
      </w:pPr>
      <w:r>
        <w:t>Never rely on frontend hiding or client-supplied organization IDs alone.</w:t>
      </w:r>
    </w:p>
    <w:p>
      <w:pPr>
        <w:pStyle w:val="ListBullet"/>
      </w:pPr>
      <w:r>
        <w:t>Test cross-tenant leakage across list/detail/export APIs, background jobs, analytics, webhooks, and AI tools.</w:t>
      </w:r>
    </w:p>
    <w:p>
      <w:pPr>
        <w:pStyle w:val="ListBullet"/>
      </w:pPr>
      <w:r>
        <w:t>Use least privilege for Al-Mantiq staff, vendor admins, and institute admins; protect the platform super-admin role.</w:t>
      </w:r>
    </w:p>
    <w:p>
      <w:pPr>
        <w:pStyle w:val="ListBullet"/>
      </w:pPr>
      <w:r>
        <w:t>Use MFA for privileged accounts where available; rate-limit login, invite acceptance, AI, exports, and sensitive operations.</w:t>
      </w:r>
    </w:p>
    <w:p>
      <w:pPr>
        <w:pStyle w:val="ListBullet"/>
      </w:pPr>
      <w:r>
        <w:t>Store secrets in a secrets manager; rotate/revoke credentials and redact logs.</w:t>
      </w:r>
    </w:p>
    <w:p>
      <w:pPr>
        <w:pStyle w:val="ListBullet"/>
      </w:pPr>
      <w:r>
        <w:t>Use TLS, encryption at rest where supported, tested backups, and documented recovery.</w:t>
      </w:r>
    </w:p>
    <w:p>
      <w:pPr>
        <w:pStyle w:val="ListBullet"/>
      </w:pPr>
      <w:r>
        <w:t>Define retention, data export/deletion, incident response, and offboarding procedures.</w:t>
      </w:r>
    </w:p>
    <w:p>
      <w:pPr>
        <w:pStyle w:val="Heading1"/>
      </w:pPr>
      <w:r>
        <w:t>8. Multi-Vendor SaaS Foundation</w:t>
      </w:r>
    </w:p>
    <w:p>
      <w:r>
        <w:t>The initial portal is Al-Mantiq-only. Keep the domain model extensible, but do not activate vendor screens or complex marketplace behavior until the core ILMA platform is stable.</w:t>
      </w:r>
    </w:p>
    <w:p>
      <w:pPr>
        <w:ind w:left="259" w:right="259"/>
      </w:pPr>
      <w:r>
        <w:rPr>
          <w:rFonts w:ascii="Consolas" w:hAnsi="Consolas"/>
          <w:color w:val="34495E"/>
          <w:sz w:val="16"/>
        </w:rPr>
        <w:t>Al-Mantiq Platform</w:t>
        <w:br/>
        <w:t xml:space="preserve"> ├─ Al-Mantiq products (starting with ILMA Education ERP)</w:t>
        <w:br/>
        <w:t xml:space="preserve"> │   └─ Customer organizations / institutes</w:t>
        <w:br/>
        <w:t xml:space="preserve"> │       └─ Branches, users, product-specific records</w:t>
        <w:br/>
        <w:t xml:space="preserve"> └─ Future vendor organizations</w:t>
        <w:br/>
        <w:t xml:space="preserve">     └─ Vendor-owned products / integrations</w:t>
        <w:br/>
        <w:t xml:space="preserve">         └─ Authorized customer organizations</w:t>
      </w:r>
    </w:p>
    <w:p>
      <w:pPr>
        <w:pStyle w:val="Heading2"/>
      </w:pPr>
      <w:r>
        <w:t>8.1 Future vendor controls</w:t>
      </w:r>
    </w:p>
    <w:p>
      <w:pPr>
        <w:pStyle w:val="ListBullet"/>
      </w:pPr>
      <w:r>
        <w:t>Global Vendor Registry: identity, verification, contract state, admin users, products, and lifecycle status.</w:t>
      </w:r>
    </w:p>
    <w:p>
      <w:pPr>
        <w:pStyle w:val="ListBullet"/>
      </w:pPr>
      <w:r>
        <w:t>Vendor-specific dashboard with access only to its own products, permitted customer summaries, integrations, and billing records.</w:t>
      </w:r>
    </w:p>
    <w:p>
      <w:pPr>
        <w:pStyle w:val="ListBullet"/>
      </w:pPr>
      <w:r>
        <w:t>Product registration and security/integration review before activation.</w:t>
      </w:r>
    </w:p>
    <w:p>
      <w:pPr>
        <w:pStyle w:val="ListBullet"/>
      </w:pPr>
      <w:r>
        <w:t>Scoped API credentials, rotation/revocation, health checks, and audit history.</w:t>
      </w:r>
    </w:p>
    <w:p>
      <w:pPr>
        <w:pStyle w:val="ListBullet"/>
      </w:pPr>
      <w:r>
        <w:t>Fees/commissions only after contract, refund, tax, currency, settlement, and reconciliation rules are defined.</w:t>
      </w:r>
    </w:p>
    <w:p>
      <w:pPr>
        <w:pStyle w:val="ListBullet"/>
      </w:pPr>
      <w:r>
        <w:t>Support/compliance cases, escalation paths, and controlled offboarding.</w:t>
      </w:r>
    </w:p>
    <w:p>
      <w:r>
        <w:t>Boundary: centralize common platform functions. Deep vendor-specific actions require documented APIs and explicit authorization. Vendor/customer data must remain isolated; support access should be scoped, time-limited, reason-based, and audited.</w:t>
      </w:r>
    </w:p>
    <w:p>
      <w:pPr>
        <w:pStyle w:val="Heading1"/>
      </w:pPr>
      <w:r>
        <w:t>9. Illustrative API Surface</w:t>
      </w:r>
    </w:p>
    <w:p>
      <w:r>
        <w:t>These are examples; follow existing ILMA API conventions where they already work.</w:t>
      </w:r>
    </w:p>
    <w:p>
      <w:pPr>
        <w:ind w:left="259" w:right="259"/>
      </w:pPr>
      <w:r>
        <w:rPr>
          <w:rFonts w:ascii="Consolas" w:hAnsi="Consolas"/>
          <w:color w:val="34495E"/>
          <w:sz w:val="16"/>
        </w:rPr>
        <w:t>POST   /api/v1/organizations</w:t>
        <w:br/>
        <w:t>GET    /api/v1/organizations?status=active&amp;product=ilma</w:t>
        <w:br/>
        <w:t>GET    /api/v1/organizations/{organizationId}</w:t>
        <w:br/>
        <w:t>PATCH  /api/v1/organizations/{organizationId}</w:t>
        <w:br/>
        <w:t>POST   /api/v1/organizations/{organizationId}/invitations</w:t>
        <w:br/>
        <w:t>POST   /api/v1/invitations/{invitationId}/revoke</w:t>
        <w:br/>
        <w:t>POST   /api/v1/organizations/{organizationId}/products/{productId}/provision</w:t>
        <w:br/>
        <w:t>GET    /api/v1/subscriptions?organizationId=...</w:t>
        <w:br/>
        <w:t>POST   /api/v1/subscriptions/{subscriptionId}/change-plan</w:t>
        <w:br/>
        <w:t>POST   /api/v1/access/{membershipId}/suspend</w:t>
        <w:br/>
        <w:t>POST   /api/v1/access/{membershipId}/revoke</w:t>
        <w:br/>
        <w:t>GET    /api/v1/analytics/overview</w:t>
        <w:br/>
        <w:t>GET    /api/v1/audit-events?targetId=...</w:t>
        <w:br/>
        <w:t>POST   /api/v1/support-cases</w:t>
        <w:br/>
        <w:t>GET    /api/v1/integrations/{integrationId}/health</w:t>
        <w:br/>
        <w:br/>
        <w:t>Future, disabled until Phase 3:</w:t>
        <w:br/>
        <w:t>POST   /api/v1/vendors</w:t>
        <w:br/>
        <w:t>POST   /api/v1/vendors/{vendorId}/products</w:t>
        <w:br/>
        <w:t>POST   /api/v1/vendors/{vendorId}/products/{productId}/approve</w:t>
      </w:r>
    </w:p>
    <w:p>
      <w:pPr>
        <w:pStyle w:val="Heading2"/>
      </w:pPr>
      <w:r>
        <w:t>9.1 API requirements</w:t>
      </w:r>
    </w:p>
    <w:p>
      <w:pPr>
        <w:pStyle w:val="ListBullet"/>
      </w:pPr>
      <w:r>
        <w:t>Consistent response envelopes and machine-readable error codes.</w:t>
      </w:r>
    </w:p>
    <w:p>
      <w:pPr>
        <w:pStyle w:val="ListBullet"/>
      </w:pPr>
      <w:r>
        <w:t>Input validation and object-level authorization for every resource.</w:t>
      </w:r>
    </w:p>
    <w:p>
      <w:pPr>
        <w:pStyle w:val="ListBullet"/>
      </w:pPr>
      <w:r>
        <w:t>Pagination, filtering, sorting, and explicit export permissions.</w:t>
      </w:r>
    </w:p>
    <w:p>
      <w:pPr>
        <w:pStyle w:val="ListBullet"/>
      </w:pPr>
      <w:r>
        <w:t>Idempotency keys for provisioning and payment-related retries.</w:t>
      </w:r>
    </w:p>
    <w:p>
      <w:pPr>
        <w:pStyle w:val="ListBullet"/>
      </w:pPr>
      <w:r>
        <w:t>Webhook signatures, retries, and idempotent event handling where webhooks are used.</w:t>
      </w:r>
    </w:p>
    <w:p>
      <w:pPr>
        <w:pStyle w:val="ListBullet"/>
      </w:pPr>
      <w:r>
        <w:t>Never return secret values after initial creation; return safe metadata only.</w:t>
      </w:r>
    </w:p>
    <w:p>
      <w:pPr>
        <w:pStyle w:val="Heading1"/>
      </w:pPr>
      <w:r>
        <w:t>10. Analytics, Billing and Expenses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Definition to agree</w:t>
            </w:r>
          </w:p>
        </w:tc>
        <w:tc>
          <w:tcPr>
            <w:tcW w:type="dxa" w:w="3360"/>
            <w:shd w:fill="163A5F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Total institutes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Customer organizations assigned to ILMA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Exclude vendor orgs and internal test tenants.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Active institutes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Organizations with active ILMA assignment and allowed access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Define grace-period treatment.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Pending invitations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Sent but not accepted, expired, or revoked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Show age; allow resend/revoke.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Renewals due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Subscriptions renewing in selected window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Always display date window.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Past-due invoices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Unpaid after due date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Invoice state differs from subscription state.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New customers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First-time ILMA activations in a period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Define which timestamp counts.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Support backlog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Open cases by priority and age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Source case status remains authoritative.</w:t>
            </w:r>
          </w:p>
        </w:tc>
      </w:tr>
    </w:tbl>
    <w:p>
      <w:pPr>
        <w:pStyle w:val="ListBullet"/>
      </w:pPr>
      <w:r>
        <w:t>Keep customer invoices/revenue and internal expenses as separate records and reports.</w:t>
      </w:r>
    </w:p>
    <w:p>
      <w:pPr>
        <w:pStyle w:val="ListBullet"/>
      </w:pPr>
      <w:r>
        <w:t>Store amount, currency, dates, status, and external references.</w:t>
      </w:r>
    </w:p>
    <w:p>
      <w:pPr>
        <w:pStyle w:val="ListBullet"/>
      </w:pPr>
      <w:r>
        <w:t>Define who invoices the customer before payment automation.</w:t>
      </w:r>
    </w:p>
    <w:p>
      <w:pPr>
        <w:pStyle w:val="ListBullet"/>
      </w:pPr>
      <w:r>
        <w:t>Do not store raw card data; use a payment provider if online payments are introduced.</w:t>
      </w:r>
    </w:p>
    <w:p>
      <w:pPr>
        <w:pStyle w:val="ListBullet"/>
      </w:pPr>
      <w:r>
        <w:t>Commission calculations later must define gross/net basis, refunds, taxes, currency conversion, settlement, and reconciliation.</w:t>
      </w:r>
    </w:p>
    <w:p>
      <w:pPr>
        <w:pStyle w:val="Heading1"/>
      </w:pPr>
      <w:r>
        <w:t>11. Non-Functional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A5F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shd w:fill="163A5F"/>
          </w:tcPr>
          <w:p>
            <w:r>
              <w:rPr>
                <w:b/>
                <w:color w:val="FFFFFF"/>
                <w:sz w:val="17"/>
              </w:rPr>
              <w:t>Baseline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Usability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Common tasks discoverable; consistent forms, filters, statuses, confirmations.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Set targets after measurement; paginate tables and avoid expensive dashboard queries on every request.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Availability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Agree service target; expose health and actionable errors.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Threat model, least privilege, tenant-isolation tests, secret management, audit, patching.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Maintainability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Module boundaries, reviews, API contracts, migrations, tests, runbooks.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Structured logs, correlation IDs, metrics, error tracking, health checks, alert ownership.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Keyboard support, labels, contrast, focus states, understandable errors.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Recovery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Backups, restore tests, recovery objectives, documented incident procedure.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Privacy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Data minimization, retention, controlled exports, approved AI processing.</w:t>
            </w:r>
          </w:p>
        </w:tc>
      </w:tr>
    </w:tbl>
    <w:p>
      <w:pPr>
        <w:pStyle w:val="Heading1"/>
      </w:pPr>
      <w:r>
        <w:t>12. Engineering Work Plan</w:t>
      </w:r>
    </w:p>
    <w:p>
      <w:pPr>
        <w:pStyle w:val="Heading2"/>
      </w:pPr>
      <w:r>
        <w:t>Sprint 0 — Discovery and safeguards</w:t>
      </w:r>
    </w:p>
    <w:p>
      <w:pPr>
        <w:pStyle w:val="ListBullet"/>
      </w:pPr>
      <w:r>
        <w:t>Inspect ILMA stack, schema, authentication, deployment and hosting.</w:t>
      </w:r>
    </w:p>
    <w:p>
      <w:pPr>
        <w:pStyle w:val="ListBullet"/>
      </w:pPr>
      <w:r>
        <w:t>Confirm institute/branch concepts and data ownership.</w:t>
      </w:r>
    </w:p>
    <w:p>
      <w:pPr>
        <w:pStyle w:val="ListBullet"/>
      </w:pPr>
      <w:r>
        <w:t>Map invitation, access, subscription, billing and expense workflows.</w:t>
      </w:r>
    </w:p>
    <w:p>
      <w:pPr>
        <w:pStyle w:val="ListBullet"/>
      </w:pPr>
      <w:r>
        <w:t>Agree roles, permission matrix, audit events, retention and backups.</w:t>
      </w:r>
    </w:p>
    <w:p>
      <w:pPr>
        <w:pStyle w:val="Heading2"/>
      </w:pPr>
      <w:r>
        <w:t>Sprint 1 — Platform foundation</w:t>
      </w:r>
    </w:p>
    <w:p>
      <w:pPr>
        <w:pStyle w:val="ListBullet"/>
      </w:pPr>
      <w:r>
        <w:t>Implement or map organization, membership, role/permission and product records.</w:t>
      </w:r>
    </w:p>
    <w:p>
      <w:pPr>
        <w:pStyle w:val="ListBullet"/>
      </w:pPr>
      <w:r>
        <w:t>Implement tenant context and server-side authorization middleware.</w:t>
      </w:r>
    </w:p>
    <w:p>
      <w:pPr>
        <w:pStyle w:val="ListBullet"/>
      </w:pPr>
      <w:r>
        <w:t>Add audit-event service and cross-tenant tests.</w:t>
      </w:r>
    </w:p>
    <w:p>
      <w:pPr>
        <w:pStyle w:val="ListBullet"/>
      </w:pPr>
      <w:r>
        <w:t>Create internal portal shell and navigation.</w:t>
      </w:r>
    </w:p>
    <w:p>
      <w:pPr>
        <w:pStyle w:val="Heading2"/>
      </w:pPr>
      <w:r>
        <w:t>Sprint 2 — ILMA customer operations</w:t>
      </w:r>
    </w:p>
    <w:p>
      <w:pPr>
        <w:pStyle w:val="ListBullet"/>
      </w:pPr>
      <w:r>
        <w:t>Institute registry, branches, status and search.</w:t>
      </w:r>
    </w:p>
    <w:p>
      <w:pPr>
        <w:pStyle w:val="ListBullet"/>
      </w:pPr>
      <w:r>
        <w:t>Invitation lifecycle and idempotent provisioning.</w:t>
      </w:r>
    </w:p>
    <w:p>
      <w:pPr>
        <w:pStyle w:val="ListBullet"/>
      </w:pPr>
      <w:r>
        <w:t>Grant/change/suspend/revoke access.</w:t>
      </w:r>
    </w:p>
    <w:p>
      <w:pPr>
        <w:pStyle w:val="ListBullet"/>
      </w:pPr>
      <w:r>
        <w:t>Customer profile with product and access summary.</w:t>
      </w:r>
    </w:p>
    <w:p>
      <w:pPr>
        <w:pStyle w:val="Heading2"/>
      </w:pPr>
      <w:r>
        <w:t>Sprint 3 — Plans, billing, analytics</w:t>
      </w:r>
    </w:p>
    <w:p>
      <w:pPr>
        <w:pStyle w:val="ListBullet"/>
      </w:pPr>
      <w:r>
        <w:t>Plan and entitlement catalogue.</w:t>
      </w:r>
    </w:p>
    <w:p>
      <w:pPr>
        <w:pStyle w:val="ListBullet"/>
      </w:pPr>
      <w:r>
        <w:t>Subscription lifecycle and renewal view.</w:t>
      </w:r>
    </w:p>
    <w:p>
      <w:pPr>
        <w:pStyle w:val="ListBullet"/>
      </w:pPr>
      <w:r>
        <w:t>Invoice/payment integration or controlled manual workflow.</w:t>
      </w:r>
    </w:p>
    <w:p>
      <w:pPr>
        <w:pStyle w:val="ListBullet"/>
      </w:pPr>
      <w:r>
        <w:t>Overview metrics with documented definitions.</w:t>
      </w:r>
    </w:p>
    <w:p>
      <w:pPr>
        <w:pStyle w:val="ListBullet"/>
      </w:pPr>
      <w:r>
        <w:t>Add expense tracking after ownership/process is confirmed.</w:t>
      </w:r>
    </w:p>
    <w:p>
      <w:pPr>
        <w:pStyle w:val="Heading2"/>
      </w:pPr>
      <w:r>
        <w:t>Sprint 4 — Support, polish, release</w:t>
      </w:r>
    </w:p>
    <w:p>
      <w:pPr>
        <w:pStyle w:val="ListBullet"/>
      </w:pPr>
      <w:r>
        <w:t>Support cases and escalation.</w:t>
      </w:r>
    </w:p>
    <w:p>
      <w:pPr>
        <w:pStyle w:val="ListBullet"/>
      </w:pPr>
      <w:r>
        <w:t>Audit search and operational alerts.</w:t>
      </w:r>
    </w:p>
    <w:p>
      <w:pPr>
        <w:pStyle w:val="ListBullet"/>
      </w:pPr>
      <w:r>
        <w:t>Responsive UI, empty states, accessibility and errors.</w:t>
      </w:r>
    </w:p>
    <w:p>
      <w:pPr>
        <w:pStyle w:val="ListBullet"/>
      </w:pPr>
      <w:r>
        <w:t>Backup/restore test, security test, migration rehearsal, UAT and launch checklist.</w:t>
      </w:r>
    </w:p>
    <w:p>
      <w:pPr>
        <w:pStyle w:val="Heading2"/>
      </w:pPr>
      <w:r>
        <w:t>After core release</w:t>
      </w:r>
    </w:p>
    <w:p>
      <w:pPr>
        <w:pStyle w:val="ListBullet"/>
      </w:pPr>
      <w:r>
        <w:t>Add AI read-only analytics and case summarization behind feature flags.</w:t>
      </w:r>
    </w:p>
    <w:p>
      <w:pPr>
        <w:pStyle w:val="ListBullet"/>
      </w:pPr>
      <w:r>
        <w:t>Add more Al-Mantiq products using product registry and entitlements.</w:t>
      </w:r>
    </w:p>
    <w:p>
      <w:pPr>
        <w:pStyle w:val="ListBullet"/>
      </w:pPr>
      <w:r>
        <w:t>Activate vendor onboarding after partner, legal, support and commercial processes are ready.</w:t>
      </w:r>
    </w:p>
    <w:p>
      <w:pPr>
        <w:pStyle w:val="Heading1"/>
      </w:pPr>
      <w:r>
        <w:t>13. QA and Acceptance Checklist</w:t>
      </w:r>
    </w:p>
    <w:p>
      <w:pPr>
        <w:pStyle w:val="ListBullet"/>
      </w:pPr>
      <w:r>
        <w:t>Institute admins cannot access another institute by changing a URL or API ID.</w:t>
      </w:r>
    </w:p>
    <w:p>
      <w:pPr>
        <w:pStyle w:val="ListBullet"/>
      </w:pPr>
      <w:r>
        <w:t>Future vendor users cannot access another vendor’s products, customer data, credentials, or cases.</w:t>
      </w:r>
    </w:p>
    <w:p>
      <w:pPr>
        <w:pStyle w:val="ListBullet"/>
      </w:pPr>
      <w:r>
        <w:t>Invitations expire, can be revoked, cannot be reused after acceptance, and are not exposed in logs.</w:t>
      </w:r>
    </w:p>
    <w:p>
      <w:pPr>
        <w:pStyle w:val="ListBullet"/>
      </w:pPr>
      <w:r>
        <w:t>Suspension/revocation blocks access according to documented session/token behavior.</w:t>
      </w:r>
    </w:p>
    <w:p>
      <w:pPr>
        <w:pStyle w:val="ListBullet"/>
      </w:pPr>
      <w:r>
        <w:t>Privileged actions record actor, target, timestamp, result, and reason where required.</w:t>
      </w:r>
    </w:p>
    <w:p>
      <w:pPr>
        <w:pStyle w:val="ListBullet"/>
      </w:pPr>
      <w:r>
        <w:t>Subscription, invoice, and payment states are reconciled and errors are visible.</w:t>
      </w:r>
    </w:p>
    <w:p>
      <w:pPr>
        <w:pStyle w:val="ListBullet"/>
      </w:pPr>
      <w:r>
        <w:t>Provisioning and webhook retries do not create duplicates.</w:t>
      </w:r>
    </w:p>
    <w:p>
      <w:pPr>
        <w:pStyle w:val="ListBullet"/>
      </w:pPr>
      <w:r>
        <w:t>Dashboard figures match documented definitions and source queries.</w:t>
      </w:r>
    </w:p>
    <w:p>
      <w:pPr>
        <w:pStyle w:val="ListBullet"/>
      </w:pPr>
      <w:r>
        <w:t>AI respects current permissions, uses the right tenant scope, and shows filters/source records.</w:t>
      </w:r>
    </w:p>
    <w:p>
      <w:pPr>
        <w:pStyle w:val="ListBullet"/>
      </w:pPr>
      <w:r>
        <w:t>AI cannot execute sensitive changes without explicit confirmation and a fresh permission check.</w:t>
      </w:r>
    </w:p>
    <w:p>
      <w:pPr>
        <w:pStyle w:val="ListBullet"/>
      </w:pPr>
      <w:r>
        <w:t>Core workflows remain usable if AI provider is unavailable.</w:t>
      </w:r>
    </w:p>
    <w:p>
      <w:pPr>
        <w:pStyle w:val="ListBullet"/>
      </w:pPr>
      <w:r>
        <w:t>Backup restoration and recovery path are tested before launch.</w:t>
      </w:r>
    </w:p>
    <w:p>
      <w:pPr>
        <w:pStyle w:val="Heading1"/>
      </w:pPr>
      <w:r>
        <w:t>14. Decisions Required from Product Owner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3A5F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040"/>
            <w:shd w:fill="163A5F"/>
          </w:tcPr>
          <w:p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Current ILMA stack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Determines extension approach and migration needs.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Hosting/deployment ownership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Shapes environments, networking, backup, monitoring and release process.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Existing identity model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Avoids duplicate users and conflicting access logic.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Subscription/billing rules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Defines states, grace periods, invoice ownership, reconciliation.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Expense workflow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Clarifies internal tracking vs accounting integration.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Customer analytics definitions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Prevents misleading or inconsistent metrics.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Support access policy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Defines staff visibility and approval boundaries.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AI provider/data policy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Defines data processing, retention, and permitted use.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Vendor commercial model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Required before commissions, settlement, or vendor billing.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Data ownership/portability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Required for vendor onboarding, offboarding, export, and disputes.</w:t>
            </w:r>
          </w:p>
        </w:tc>
      </w:tr>
    </w:tbl>
    <w:p>
      <w:pPr>
        <w:pStyle w:val="Heading1"/>
      </w:pPr>
      <w:r>
        <w:t>15. Recommended Engineering Decisions</w:t>
      </w:r>
    </w:p>
    <w:p>
      <w:pPr>
        <w:pStyle w:val="ListBullet"/>
      </w:pPr>
      <w:r>
        <w:t>Start as a modular monolith unless existing architecture or scale justifies another approach.</w:t>
      </w:r>
    </w:p>
    <w:p>
      <w:pPr>
        <w:pStyle w:val="ListBullet"/>
      </w:pPr>
      <w:r>
        <w:t>Reuse stable ILMA capabilities rather than rewriting them without evidence.</w:t>
      </w:r>
    </w:p>
    <w:p>
      <w:pPr>
        <w:pStyle w:val="ListBullet"/>
      </w:pPr>
      <w:r>
        <w:t>Make tenant-scoped authorization a foundational invariant from the first migration.</w:t>
      </w:r>
    </w:p>
    <w:p>
      <w:pPr>
        <w:pStyle w:val="ListBullet"/>
      </w:pPr>
      <w:r>
        <w:t>Make the platform product-aware, but enable only ILMA in the first release.</w:t>
      </w:r>
    </w:p>
    <w:p>
      <w:pPr>
        <w:pStyle w:val="ListBullet"/>
      </w:pPr>
      <w:r>
        <w:t>Separate plan entitlements from billing/payment state.</w:t>
      </w:r>
    </w:p>
    <w:p>
      <w:pPr>
        <w:pStyle w:val="ListBullet"/>
      </w:pPr>
      <w:r>
        <w:t>Implement audit logging before high-privilege features.</w:t>
      </w:r>
    </w:p>
    <w:p>
      <w:pPr>
        <w:pStyle w:val="ListBullet"/>
      </w:pPr>
      <w:r>
        <w:t>Start AI with read-only assistance and make it fail safely.</w:t>
      </w:r>
    </w:p>
    <w:p>
      <w:pPr>
        <w:pStyle w:val="ListBullet"/>
      </w:pPr>
      <w:r>
        <w:t>Hide vendor workflows until Phase 3 while keeping the domain model extensible.</w:t>
      </w:r>
    </w:p>
    <w:p>
      <w:pPr>
        <w:pStyle w:val="ListBullet"/>
      </w:pPr>
      <w:r>
        <w:t>Prioritize predictable user journeys over a dashboard packed with every possible metric.</w:t>
      </w:r>
    </w:p>
    <w:p>
      <w:pPr>
        <w:pStyle w:val="Heading1"/>
      </w:pPr>
      <w:r>
        <w:t>Appendix A — Suggested Permission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63A5F"/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1680"/>
            <w:shd w:fill="163A5F"/>
          </w:tcPr>
          <w:p>
            <w:r>
              <w:rPr>
                <w:b/>
                <w:color w:val="FFFFFF"/>
                <w:sz w:val="17"/>
              </w:rPr>
              <w:t>Platform Super Admin</w:t>
            </w:r>
          </w:p>
        </w:tc>
        <w:tc>
          <w:tcPr>
            <w:tcW w:type="dxa" w:w="1680"/>
            <w:shd w:fill="163A5F"/>
          </w:tcPr>
          <w:p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type="dxa" w:w="1680"/>
            <w:shd w:fill="163A5F"/>
          </w:tcPr>
          <w:p>
            <w:r>
              <w:rPr>
                <w:b/>
                <w:color w:val="FFFFFF"/>
                <w:sz w:val="17"/>
              </w:rPr>
              <w:t>Finance</w:t>
            </w:r>
          </w:p>
        </w:tc>
        <w:tc>
          <w:tcPr>
            <w:tcW w:type="dxa" w:w="1680"/>
            <w:shd w:fill="163A5F"/>
          </w:tcPr>
          <w:p>
            <w:r>
              <w:rPr>
                <w:b/>
                <w:color w:val="FFFFFF"/>
                <w:sz w:val="17"/>
              </w:rPr>
              <w:t>Vendor Admin</w:t>
            </w:r>
          </w:p>
        </w:tc>
        <w:tc>
          <w:tcPr>
            <w:tcW w:type="dxa" w:w="1680"/>
            <w:shd w:fill="163A5F"/>
          </w:tcPr>
          <w:p>
            <w:r>
              <w:rPr>
                <w:b/>
                <w:color w:val="FFFFFF"/>
                <w:sz w:val="17"/>
              </w:rPr>
              <w:t>Institute Admin</w:t>
            </w:r>
          </w:p>
        </w:tc>
      </w:tr>
      <w:tr>
        <w:tc>
          <w:tcPr>
            <w:tcW w:type="dxa" w:w="1680"/>
          </w:tcPr>
          <w:p>
            <w:r>
              <w:rPr>
                <w:sz w:val="17"/>
              </w:rPr>
              <w:t>Manage organizations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Limited read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vendor only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institute only</w:t>
            </w:r>
          </w:p>
        </w:tc>
      </w:tr>
      <w:tr>
        <w:tc>
          <w:tcPr>
            <w:tcW w:type="dxa" w:w="1680"/>
          </w:tcPr>
          <w:p>
            <w:r>
              <w:rPr>
                <w:sz w:val="17"/>
              </w:rPr>
              <w:t>Invite/revoke access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All by policy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Policy/approval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Delegated own scope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users if allowed</w:t>
            </w:r>
          </w:p>
        </w:tc>
      </w:tr>
      <w:tr>
        <w:tc>
          <w:tcPr>
            <w:tcW w:type="dxa" w:w="1680"/>
          </w:tcPr>
          <w:p>
            <w:r>
              <w:rPr>
                <w:sz w:val="17"/>
              </w:rPr>
              <w:t>View subscription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Platform-wide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Limited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products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subscription</w:t>
            </w:r>
          </w:p>
        </w:tc>
      </w:tr>
      <w:tr>
        <w:tc>
          <w:tcPr>
            <w:tcW w:type="dxa" w:w="1680"/>
          </w:tcPr>
          <w:p>
            <w:r>
              <w:rPr>
                <w:sz w:val="17"/>
              </w:rPr>
              <w:t>Edit invoices/payments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Policy-controlled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commercial records if applicable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View own records</w:t>
            </w:r>
          </w:p>
        </w:tc>
      </w:tr>
      <w:tr>
        <w:tc>
          <w:tcPr>
            <w:tcW w:type="dxa" w:w="1680"/>
          </w:tcPr>
          <w:p>
            <w:r>
              <w:rPr>
                <w:sz w:val="17"/>
              </w:rPr>
              <w:t>View audit log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Platform scope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Relevant cases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Financial events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vendor scope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org if exposed</w:t>
            </w:r>
          </w:p>
        </w:tc>
      </w:tr>
      <w:tr>
        <w:tc>
          <w:tcPr>
            <w:tcW w:type="dxa" w:w="1680"/>
          </w:tcPr>
          <w:p>
            <w:r>
              <w:rPr>
                <w:sz w:val="17"/>
              </w:rPr>
              <w:t>Manage API credentials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Platform integrations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approved integrations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680"/>
          </w:tcPr>
          <w:p>
            <w:r>
              <w:rPr>
                <w:sz w:val="17"/>
              </w:rPr>
              <w:t>Approve vendor/product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680"/>
          </w:tcPr>
          <w:p>
            <w:r>
              <w:rPr>
                <w:sz w:val="17"/>
              </w:rPr>
              <w:t>Use AI analytics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Authorized scope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Case scope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Finance scope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Vendor scope</w:t>
            </w:r>
          </w:p>
        </w:tc>
        <w:tc>
          <w:tcPr>
            <w:tcW w:type="dxa" w:w="1680"/>
          </w:tcPr>
          <w:p>
            <w:r>
              <w:rPr>
                <w:sz w:val="17"/>
              </w:rPr>
              <w:t>Own org scope</w:t>
            </w:r>
          </w:p>
        </w:tc>
      </w:tr>
    </w:tbl>
    <w:p>
      <w:pPr>
        <w:pStyle w:val="Heading1"/>
      </w:pPr>
      <w:r>
        <w:t>Appendix B — Implementation Invariants</w:t>
      </w:r>
    </w:p>
    <w:p>
      <w:pPr>
        <w:pStyle w:val="ListBullet"/>
      </w:pPr>
      <w:r>
        <w:t>Global user identity; organization membership determines context.</w:t>
      </w:r>
    </w:p>
    <w:p>
      <w:pPr>
        <w:pStyle w:val="ListBullet"/>
      </w:pPr>
      <w:r>
        <w:t>Every API and background job enforces organization/product scope.</w:t>
      </w:r>
    </w:p>
    <w:p>
      <w:pPr>
        <w:pStyle w:val="ListBullet"/>
      </w:pPr>
      <w:r>
        <w:t>Plan entitlement is not the same thing as payment status.</w:t>
      </w:r>
    </w:p>
    <w:p>
      <w:pPr>
        <w:pStyle w:val="ListBullet"/>
      </w:pPr>
      <w:r>
        <w:t>AI is a tool-using assistant, not a privileged user.</w:t>
      </w:r>
    </w:p>
    <w:p>
      <w:pPr>
        <w:pStyle w:val="ListBullet"/>
      </w:pPr>
      <w:r>
        <w:t>Vendor access is explicit, isolated, auditable, and only enabled after Phase 3 readiness.</w:t>
      </w:r>
    </w:p>
    <w:p>
      <w:pPr>
        <w:pStyle w:val="ListBullet"/>
      </w:pPr>
      <w:r>
        <w:t>Logical diagrams must be reconciled with actual migrations and maintained in version control.</w:t>
      </w:r>
    </w:p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794"/>
        <w:sz w:val="16"/>
      </w:rPr>
      <w:t xml:space="preserve">ILMA ERP — Developer Handout Edition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1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619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