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1737360" cy="173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rti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100" w:after="160"/>
        <w:jc w:val="center"/>
      </w:pPr>
      <w:r>
        <w:rPr>
          <w:rFonts w:ascii="Calibri" w:hAnsi="Calibri"/>
          <w:b/>
          <w:i w:val="0"/>
          <w:color w:val="17335C"/>
          <w:sz w:val="60"/>
        </w:rPr>
        <w:t>Manual de Configurações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5C677D"/>
          <w:sz w:val="28"/>
        </w:rPr>
        <w:t>AVMD SYSTEM • CRM CertiID</w:t>
      </w:r>
    </w:p>
    <w:p>
      <w:pPr>
        <w:spacing w:after="120" w:line="288" w:lineRule="auto"/>
        <w:jc w:val="center"/>
      </w:pPr>
      <w:r>
        <w:rPr>
          <w:rFonts w:ascii="Calibri" w:hAnsi="Calibri"/>
          <w:b w:val="0"/>
          <w:i w:val="0"/>
          <w:color w:val="222222"/>
          <w:sz w:val="22"/>
        </w:rPr>
        <w:t>Guia administrativo para implantação, manutenção e auditoria das configurações operacionais, comerciais, fiscais e de atendimento.</w:t>
      </w:r>
    </w:p>
    <w:p>
      <w:pPr>
        <w:spacing w:before="720"/>
        <w:jc w:val="center"/>
      </w:pPr>
      <w:r>
        <w:rPr>
          <w:rFonts w:ascii="Calibri" w:hAnsi="Calibri"/>
          <w:b w:val="0"/>
          <w:i w:val="0"/>
          <w:color w:val="5C677D"/>
          <w:sz w:val="21"/>
        </w:rPr>
        <w:t>Edição: julho de 2026</w:t>
        <w:br/>
        <w:t>Ambiente: Produção</w:t>
        <w:br/>
        <w:t>Público: administradores e supervisores</w:t>
      </w:r>
    </w:p>
    <w:p>
      <w:r>
        <w:br w:type="page"/>
      </w:r>
    </w:p>
    <w:p>
      <w:pPr>
        <w:pStyle w:val="Heading1"/>
        <w:keepNext/>
      </w:pPr>
      <w:r>
        <w:t>Sumário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15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Capítulo</w:t>
            </w:r>
          </w:p>
        </w:tc>
        <w:tc>
          <w:tcPr>
            <w:tcW w:type="dxa" w:w="79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Conteúdo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Princípios de configuração e acesso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Usuários, perfis, vínculos e permissões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Parceiros e agentes permitidos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Pontos de atendimento e hierarquia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Modelo comercial, imposto e RBT12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Remuneração, comissões e repasses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Tabelas de preço e descontos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Fluxos de venda, validação e representante legal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Chat, filas, supervisão e histórico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Fiscal/NFS-e, relatórios, segurança e checklist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EEF4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5EEF"/>
                <w:sz w:val="21"/>
              </w:rPr>
              <w:t>Como usar este manual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Siga primeiro o checklist de implantação. Depois consulte o capítulo específico sempre que alterar uma regra. Mudanças de imposto, preço ou comissão devem ser registradas com data de vigência.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Princípios de configuração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O sistema separa cadastro, acesso, operação e remuneração. Um mesmo participante pode acumular papéis, mas cada papel deve ser marcado no cadastro para aparecer nas listas compatíveis.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Camada</w:t>
            </w:r>
          </w:p>
        </w:tc>
        <w:tc>
          <w:tcPr>
            <w:tcW w:type="dxa" w:w="3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O que controla</w:t>
            </w:r>
          </w:p>
        </w:tc>
        <w:tc>
          <w:tcPr>
            <w:tcW w:type="dxa" w:w="331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Exemplo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Cadastro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Identidade e dados do participante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Parceiro Rogerio Ribeiro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Acesso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 que o usuário pode visualizar e executar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Administrador ou Agente de Registro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Vínculo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 nome de quem o usuário opera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Parceiro Vendedor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Ponto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Local operacional e hierarquia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CertiID Matriz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Modelo comercial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Imposto, retenção e divisão financeira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Integrado ou Revenda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FF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A61B1B"/>
                <w:sz w:val="21"/>
              </w:rPr>
              <w:t>Regra de segurança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Não compartilhe logins. Cada pessoa deve possuir usuário próprio. A senha não deve ser armazenada no cadastro do parceiro.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Usuários, perfis e vínculos</w:t>
      </w:r>
    </w:p>
    <w:p>
      <w:pPr>
        <w:pStyle w:val="Heading2"/>
        <w:keepNext/>
      </w:pPr>
      <w:r>
        <w:t>2.1 Caminho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Configurações &gt; Usuários &gt; selecione o usuário &gt; Editar.</w:t>
      </w:r>
    </w:p>
    <w:p>
      <w:pPr>
        <w:pStyle w:val="Heading2"/>
        <w:keepNext/>
      </w:pPr>
      <w:r>
        <w:t>2.2 Perfil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Perfil</w:t>
            </w:r>
          </w:p>
        </w:tc>
        <w:tc>
          <w:tcPr>
            <w:tcW w:type="dxa" w:w="61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Uso recomendado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Administrador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Configuração global e acesso amplo.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Supervisor do Chat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Visualiza e distribui todas as conversas.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Agente de Registro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Validações, agenda e operação autorizada.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Parceiro Vendedor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Vendas e clientes vinculados.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Usuário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Acesso limitado por permissões marcadas.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Vínculo do usuário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Vínculo</w:t>
            </w:r>
          </w:p>
        </w:tc>
        <w:tc>
          <w:tcPr>
            <w:tcW w:type="dxa" w:w="61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Quando usar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Agente de Registro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Pessoa habilitada a realizar validações.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Parceiro Vendedor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Vende por acesso ou link próprio.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Parceiro Contador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Indica ou vende para sua carteira.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Usuário comum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Colaborador interno sem vínculo comercial.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Cliente do portal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Cliente externo com acesso ao próprio portal.</w:t>
            </w:r>
          </w:p>
        </w:tc>
      </w:tr>
    </w:tbl>
    <w:p>
      <w:pPr>
        <w:spacing w:after="40"/>
      </w:pP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1 — </w:t>
      </w:r>
      <w:r>
        <w:rPr>
          <w:rFonts w:ascii="Calibri" w:hAnsi="Calibri"/>
          <w:b w:val="0"/>
          <w:i w:val="0"/>
          <w:color w:val="222222"/>
          <w:sz w:val="22"/>
        </w:rPr>
        <w:t>Selecione o perfil de acesso.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2 — </w:t>
      </w:r>
      <w:r>
        <w:rPr>
          <w:rFonts w:ascii="Calibri" w:hAnsi="Calibri"/>
          <w:b w:val="0"/>
          <w:i w:val="0"/>
          <w:color w:val="222222"/>
          <w:sz w:val="22"/>
        </w:rPr>
        <w:t>Selecione o vínculo funcional.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3 — </w:t>
      </w:r>
      <w:r>
        <w:rPr>
          <w:rFonts w:ascii="Calibri" w:hAnsi="Calibri"/>
          <w:b w:val="0"/>
          <w:i w:val="0"/>
          <w:color w:val="222222"/>
          <w:sz w:val="22"/>
        </w:rPr>
        <w:t>No campo Nome do vínculo, escolha um cadastro compatível.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4 — </w:t>
      </w:r>
      <w:r>
        <w:rPr>
          <w:rFonts w:ascii="Calibri" w:hAnsi="Calibri"/>
          <w:b w:val="0"/>
          <w:i w:val="0"/>
          <w:color w:val="222222"/>
          <w:sz w:val="22"/>
        </w:rPr>
        <w:t>Marque somente os módulos necessários.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5 — </w:t>
      </w:r>
      <w:r>
        <w:rPr>
          <w:rFonts w:ascii="Calibri" w:hAnsi="Calibri"/>
          <w:b w:val="0"/>
          <w:i w:val="0"/>
          <w:color w:val="222222"/>
          <w:sz w:val="22"/>
        </w:rPr>
        <w:t>Salve e teste o acesso em sessão separada.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54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5049845-73af-42d0-9c26-63817459d8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5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C677D"/>
          <w:sz w:val="18"/>
        </w:rPr>
        <w:t>Tela de edição do usuário e escolha do vínculo funcional.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EEF4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5EEF"/>
                <w:sz w:val="21"/>
              </w:rPr>
              <w:t>Importante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 opção genérica Parceiro foi retirada. Utilize Parceiro Vendedor ou Parceiro Contador para evitar ambiguidade.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Parceiros</w:t>
      </w:r>
    </w:p>
    <w:p>
      <w:pPr>
        <w:pStyle w:val="Heading2"/>
        <w:keepNext/>
      </w:pPr>
      <w:r>
        <w:t>3.1 Cadastro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Parceiros &gt; Novo Parceiro ou ícone de edição. Informe documento, razão social/nome, contato, endereço, IBGE, tipo, papéis adicionais e dados bancários quando houver repasse.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O cadastro é único: não recrie a mesma pessoa para cada papel.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Marque os papéis adicionais: vendedor, agente de registro e/ou contador.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O local de atendimento deve ser escolhido na lista de pontos cadastrados.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Dados bancários são necessários somente quando houver pagamento.</w:t>
      </w:r>
    </w:p>
    <w:p>
      <w:pPr>
        <w:pStyle w:val="Heading2"/>
        <w:keepNext/>
      </w:pPr>
      <w:r>
        <w:t>3.2 Agentes permitidos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A seção Agentes de Registro Permitidos limita quem pode atender vendas e validações daquele parceiro. Ela não define comissão.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1 — </w:t>
      </w:r>
      <w:r>
        <w:rPr>
          <w:rFonts w:ascii="Calibri" w:hAnsi="Calibri"/>
          <w:b w:val="0"/>
          <w:i w:val="0"/>
          <w:color w:val="222222"/>
          <w:sz w:val="22"/>
        </w:rPr>
        <w:t>Escolha o agente.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2 — </w:t>
      </w:r>
      <w:r>
        <w:rPr>
          <w:rFonts w:ascii="Calibri" w:hAnsi="Calibri"/>
          <w:b w:val="0"/>
          <w:i w:val="0"/>
          <w:color w:val="222222"/>
          <w:sz w:val="22"/>
        </w:rPr>
        <w:t>Defina o ponto preferencial ou deixe Sem ponto fixo.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3 — </w:t>
      </w:r>
      <w:r>
        <w:rPr>
          <w:rFonts w:ascii="Calibri" w:hAnsi="Calibri"/>
          <w:b w:val="0"/>
          <w:i w:val="0"/>
          <w:color w:val="222222"/>
          <w:sz w:val="22"/>
        </w:rPr>
        <w:t>Clique em Vincular agente.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4 — </w:t>
      </w:r>
      <w:r>
        <w:rPr>
          <w:rFonts w:ascii="Calibri" w:hAnsi="Calibri"/>
          <w:b w:val="0"/>
          <w:i w:val="0"/>
          <w:color w:val="222222"/>
          <w:sz w:val="22"/>
        </w:rPr>
        <w:t>Use inativar para suspender temporariamente; excluir remove o vínculo.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ee84127-2cd9-4e9d-a77b-c45d71d684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C677D"/>
          <w:sz w:val="18"/>
        </w:rPr>
        <w:t>Configuração do parceiro e agentes de registro permitidos.</w:t>
      </w:r>
    </w:p>
    <w:p>
      <w:pPr>
        <w:pStyle w:val="Heading1"/>
        <w:keepNext/>
      </w:pPr>
      <w:r>
        <w:t>4. Pontos de atendimento e hierarquia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Configurações &gt; Pontos de Atendimento. Cada ponto deve ter nome, código, cidade, UF e status. O botão Hierarquia abre os agentes e participantes vinculados.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1 — </w:t>
      </w:r>
      <w:r>
        <w:rPr>
          <w:rFonts w:ascii="Calibri" w:hAnsi="Calibri"/>
          <w:b w:val="0"/>
          <w:i w:val="0"/>
          <w:color w:val="222222"/>
          <w:sz w:val="22"/>
        </w:rPr>
        <w:t>Abra Hierarquia no ponto desejado.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2 — </w:t>
      </w:r>
      <w:r>
        <w:rPr>
          <w:rFonts w:ascii="Calibri" w:hAnsi="Calibri"/>
          <w:b w:val="0"/>
          <w:i w:val="0"/>
          <w:color w:val="222222"/>
          <w:sz w:val="22"/>
        </w:rPr>
        <w:t>Vincule o agente raiz do ponto.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3 — </w:t>
      </w:r>
      <w:r>
        <w:rPr>
          <w:rFonts w:ascii="Calibri" w:hAnsi="Calibri"/>
          <w:b w:val="0"/>
          <w:i w:val="0"/>
          <w:color w:val="222222"/>
          <w:sz w:val="22"/>
        </w:rPr>
        <w:t>Adicione vendedores ou participantes subordinados quando necessário.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4 — </w:t>
      </w:r>
      <w:r>
        <w:rPr>
          <w:rFonts w:ascii="Calibri" w:hAnsi="Calibri"/>
          <w:b w:val="0"/>
          <w:i w:val="0"/>
          <w:color w:val="222222"/>
          <w:sz w:val="22"/>
        </w:rPr>
        <w:t>Defina se o vendedor pode usar todos os agentes ou apenas um agente específico.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5 — </w:t>
      </w:r>
      <w:r>
        <w:rPr>
          <w:rFonts w:ascii="Calibri" w:hAnsi="Calibri"/>
          <w:b w:val="0"/>
          <w:i w:val="0"/>
          <w:color w:val="222222"/>
          <w:sz w:val="22"/>
        </w:rPr>
        <w:t>Abra Modelo e comissões no participante que lidera a operação.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Ponto</w:t>
            </w:r>
          </w:p>
        </w:tc>
        <w:tc>
          <w:tcPr>
            <w:tcW w:type="dxa" w:w="61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Agentes atualmente previstos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CertiID Matriz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Renata Mantovan e Daniel Morgado Mantovan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CertiID BH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Isabella Vidal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CertiID Mauá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Ingrid Braz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CertiID SJC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Alice Maciel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EEF4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5EEF"/>
                <w:sz w:val="21"/>
              </w:rPr>
              <w:t>Diferença essencial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Agente permitido no parceiro controla atendimento. Agente vinculado ao ponto controla a hierarquia operacional. São relações diferentes.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Modelo comercial e imposto</w:t>
      </w:r>
    </w:p>
    <w:p>
      <w:pPr>
        <w:pStyle w:val="Heading2"/>
        <w:keepNext/>
      </w:pPr>
      <w:r>
        <w:t>5.1 Caminho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Configurações &gt; Pontos de Atendimento &gt; Hierarquia &gt; participante &gt; Modelo e comissões.</w:t>
      </w:r>
    </w:p>
    <w:p>
      <w:pPr>
        <w:pStyle w:val="Heading2"/>
        <w:keepNext/>
      </w:pPr>
      <w:r>
        <w:t>5.2 Integrado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A CertiID define o preço de venda. Todas as comissões usam o valor da venda após o imposto. O saldo não distribuído permanece com a operação integrada.</w:t>
      </w:r>
    </w:p>
    <w:p>
      <w:pPr>
        <w:pStyle w:val="Heading2"/>
        <w:keepNext/>
      </w:pPr>
      <w:r>
        <w:t>5.3 Revenda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A empresa trava a retenção/custo base. Do valor após imposto são descontados a retenção e os repasses. O saldo pertence ao revendedor.</w:t>
      </w:r>
    </w:p>
    <w:p>
      <w:pPr>
        <w:pStyle w:val="Heading2"/>
        <w:keepNext/>
      </w:pPr>
      <w:r>
        <w:t>5.4 Simples Nacional — Anexo III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Selecione Simples — Anexo III e informe o RBT12. O sistema identifica a faixa e calcula a alíquota efetiva pela fórmula: (RBT12 × alíquota nominal − parcela a deduzir) ÷ RBT12.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16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RBT12 informado</w:t>
            </w:r>
          </w:p>
        </w:tc>
        <w:tc>
          <w:tcPr>
            <w:tcW w:type="dxa" w:w="230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Faixa</w:t>
            </w:r>
          </w:p>
        </w:tc>
        <w:tc>
          <w:tcPr>
            <w:tcW w:type="dxa" w:w="3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Alíquota efetiva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R$ 274.489,49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2ª faixa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7,7900%</w:t>
            </w:r>
          </w:p>
        </w:tc>
      </w:tr>
    </w:tbl>
    <w:p>
      <w:pPr>
        <w:spacing w:after="40"/>
      </w:pP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Exemplo de venda: R$ 200,00 − R$ 15,58 de imposto = R$ 184,42 de base para remunerações.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421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5325707-7cba-4b45-90c8-351c70b2d8f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2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C677D"/>
          <w:sz w:val="18"/>
        </w:rPr>
        <w:t>Modelo Integrado com cálculo automático pelo Anexo III.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FF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A61B1B"/>
                <w:sz w:val="21"/>
              </w:rPr>
              <w:t>Atualização mensal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Atualize o RBT12 após o fechamento de cada competência. O sistema calcula a alíquota; a origem contábil do RBT12 deve ser conferida com a contabilidade.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Remuneração e repasses</w:t>
      </w:r>
    </w:p>
    <w:p>
      <w:pPr>
        <w:pStyle w:val="Heading2"/>
        <w:keepNext/>
      </w:pPr>
      <w:r>
        <w:t>6.1 Regra vigente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A regra operacional efetiva está em Remuneração do Agente. Ela permite valor fixo ou percentual, por ponto e por tipo de documento.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Existe uma única comissão de validação por atendimento.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Podem existir vários repasses de venda.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Percentuais são aplicados sobre a venda após o imposto.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O sistema bloqueia estruturas cujo total ultrapasse a base disponível.</w:t>
      </w:r>
    </w:p>
    <w:p>
      <w:pPr>
        <w:pStyle w:val="Heading2"/>
        <w:keepNext/>
      </w:pPr>
      <w:r>
        <w:t>6.2 Remuneração em cascata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1 — </w:t>
      </w:r>
      <w:r>
        <w:rPr>
          <w:rFonts w:ascii="Calibri" w:hAnsi="Calibri"/>
          <w:b w:val="0"/>
          <w:i w:val="0"/>
          <w:color w:val="222222"/>
          <w:sz w:val="22"/>
        </w:rPr>
        <w:t>Escolha Quem recebe.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2 — </w:t>
      </w:r>
      <w:r>
        <w:rPr>
          <w:rFonts w:ascii="Calibri" w:hAnsi="Calibri"/>
          <w:b w:val="0"/>
          <w:i w:val="0"/>
          <w:color w:val="222222"/>
          <w:sz w:val="22"/>
        </w:rPr>
        <w:t>Mantenha a base Venda após imposto.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3 — </w:t>
      </w:r>
      <w:r>
        <w:rPr>
          <w:rFonts w:ascii="Calibri" w:hAnsi="Calibri"/>
          <w:b w:val="0"/>
          <w:i w:val="0"/>
          <w:color w:val="222222"/>
          <w:sz w:val="22"/>
        </w:rPr>
        <w:t>Selecione Percentual ou Valor fixo.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4 — </w:t>
      </w:r>
      <w:r>
        <w:rPr>
          <w:rFonts w:ascii="Calibri" w:hAnsi="Calibri"/>
          <w:b w:val="0"/>
          <w:i w:val="0"/>
          <w:color w:val="222222"/>
          <w:sz w:val="22"/>
        </w:rPr>
        <w:t>Informe o valor e adicione o repasse.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5 — </w:t>
      </w:r>
      <w:r>
        <w:rPr>
          <w:rFonts w:ascii="Calibri" w:hAnsi="Calibri"/>
          <w:b w:val="0"/>
          <w:i w:val="0"/>
          <w:color w:val="222222"/>
          <w:sz w:val="22"/>
        </w:rPr>
        <w:t>Repita para contador, vendedor ou intermediário, se aplicável.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Venda</w:t>
            </w:r>
          </w:p>
        </w:tc>
        <w:tc>
          <w:tcPr>
            <w:tcW w:type="dxa" w:w="158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Imposto 7,79%</w:t>
            </w:r>
          </w:p>
        </w:tc>
        <w:tc>
          <w:tcPr>
            <w:tcW w:type="dxa" w:w="1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Base</w:t>
            </w:r>
          </w:p>
        </w:tc>
        <w:tc>
          <w:tcPr>
            <w:tcW w:type="dxa" w:w="1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AGR 20%</w:t>
            </w:r>
          </w:p>
        </w:tc>
        <w:tc>
          <w:tcPr>
            <w:tcW w:type="dxa" w:w="158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Contador 10%</w:t>
            </w:r>
          </w:p>
        </w:tc>
        <w:tc>
          <w:tcPr>
            <w:tcW w:type="dxa" w:w="158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Saldo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R$ 200,00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R$ 15,58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R$ 184,42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R$ 36,88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R$ 18,44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R$ 129,10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Faixas de comissão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A tela Faixas de Comissão existe como cadastro de faixas por volume, mas ainda não é a fonte do cálculo financeiro. Não configure valores conflitantes nela.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621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08c6f1d-214a-4899-8402-3397de5bf5a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2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C677D"/>
          <w:sz w:val="18"/>
        </w:rPr>
        <w:t>Faixas por volume: referência atual, ainda não ligada ao cálculo efetivo.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51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f1da87e-fcaa-44b8-a6a0-c89aa0e878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C677D"/>
          <w:sz w:val="18"/>
        </w:rPr>
        <w:t>Remuneração do agente: regra atualmente utilizada no cálculo.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FF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A61B1B"/>
                <w:sz w:val="21"/>
              </w:rPr>
              <w:t>Evite duplicidade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Até a unificação das telas, utilize Remuneração do Agente como regra oficial de pagamento.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Tabelas de preço e descontos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Tabelas de preço podem ser vinculadas a parceiros, vendedores e contadores. Um participante pode acessar mais de uma tabela.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No modelo Integrado, o preço de venda é controlado pela operação.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No modelo Revenda, configure o preço base/retenção por produto.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A venda não pode ficar abaixo do mínimo definido.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Descontos devem ser autorizados e registrados antes do pagamento.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EEF4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5EEF"/>
                <w:sz w:val="21"/>
              </w:rPr>
              <w:t>Tela de venda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A aba operacional de vendas mostra apenas o valor da venda. Imposto, custos e repasses devem aparecer nos relatórios financeiros.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Venda, validação e representante legal</w:t>
      </w:r>
    </w:p>
    <w:p>
      <w:pPr>
        <w:pStyle w:val="Heading2"/>
        <w:keepNext/>
      </w:pPr>
      <w:r>
        <w:t>8.1 Venda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1 — </w:t>
      </w:r>
      <w:r>
        <w:rPr>
          <w:rFonts w:ascii="Calibri" w:hAnsi="Calibri"/>
          <w:b w:val="0"/>
          <w:i w:val="0"/>
          <w:color w:val="222222"/>
          <w:sz w:val="22"/>
        </w:rPr>
        <w:t>Selecione o cliente ou conclua o cadastro obrigatório.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2 — </w:t>
      </w:r>
      <w:r>
        <w:rPr>
          <w:rFonts w:ascii="Calibri" w:hAnsi="Calibri"/>
          <w:b w:val="0"/>
          <w:i w:val="0"/>
          <w:color w:val="222222"/>
          <w:sz w:val="22"/>
        </w:rPr>
        <w:t>Escolha produto, tabela, vendedor/parceiro, ponto e forma de pagamento.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3 — </w:t>
      </w:r>
      <w:r>
        <w:rPr>
          <w:rFonts w:ascii="Calibri" w:hAnsi="Calibri"/>
          <w:b w:val="0"/>
          <w:i w:val="0"/>
          <w:color w:val="222222"/>
          <w:sz w:val="22"/>
        </w:rPr>
        <w:t>O sistema registra a estrutura comercial como fotografia da venda.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4 — </w:t>
      </w:r>
      <w:r>
        <w:rPr>
          <w:rFonts w:ascii="Calibri" w:hAnsi="Calibri"/>
          <w:b w:val="0"/>
          <w:i w:val="0"/>
          <w:color w:val="222222"/>
          <w:sz w:val="22"/>
        </w:rPr>
        <w:t>Após emissão, alterações de configuração não devem modificar vendas antigas.</w:t>
      </w:r>
    </w:p>
    <w:p>
      <w:pPr>
        <w:pStyle w:val="Heading2"/>
        <w:keepNext/>
      </w:pPr>
      <w:r>
        <w:t>8.2 Validação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O agente efetivamente responsável deve ser registrado no pedido. A comissão de validação é calculada uma única vez sobre a base após imposto.</w:t>
      </w:r>
    </w:p>
    <w:p>
      <w:pPr>
        <w:pStyle w:val="Heading2"/>
        <w:keepNext/>
      </w:pPr>
      <w:r>
        <w:t>8.3 Representante legal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Para e-CNPJ, valide o representante legal antes de prosseguir. O CPF completo deve ser informado e armazenado com proteção adequada. Para e-PJ e NF-e, a regra pode ser dispensada conforme o produto.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FF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A61B1B"/>
                <w:sz w:val="21"/>
              </w:rPr>
              <w:t>LGPD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CPF completo é dado pessoal. Restrinja acesso, registre finalidade e mantenha trilha de auditoria.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Chat, filas e supervisão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Administrador e Supervisor do Chat podem visualizar todas as conversas.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Atendente visualiza conversas atribuídas ou permitidas pela fila.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Arquivar remove da visão operacional, mas preserva cliente e histórico.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Nova mensagem recebida deve reabrir ou reativar a conversa.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Excluir não deve ser usado como arquivamento.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Áudio, imagem e arquivo precisam permanecer acessíveis pelo histórico.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1 — </w:t>
      </w:r>
      <w:r>
        <w:rPr>
          <w:rFonts w:ascii="Calibri" w:hAnsi="Calibri"/>
          <w:b w:val="0"/>
          <w:i w:val="0"/>
          <w:color w:val="222222"/>
          <w:sz w:val="22"/>
        </w:rPr>
        <w:t>Defina o modo: IA, humano ou IA e humano.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2 — </w:t>
      </w:r>
      <w:r>
        <w:rPr>
          <w:rFonts w:ascii="Calibri" w:hAnsi="Calibri"/>
          <w:b w:val="0"/>
          <w:i w:val="0"/>
          <w:color w:val="222222"/>
          <w:sz w:val="22"/>
        </w:rPr>
        <w:t>Atribua a conversa ao atendente responsável.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3 — </w:t>
      </w:r>
      <w:r>
        <w:rPr>
          <w:rFonts w:ascii="Calibri" w:hAnsi="Calibri"/>
          <w:b w:val="0"/>
          <w:i w:val="0"/>
          <w:color w:val="222222"/>
          <w:sz w:val="22"/>
        </w:rPr>
        <w:t>Salve o contato quando houver dados suficientes.</w:t>
      </w:r>
    </w:p>
    <w:p>
      <w:pPr>
        <w:spacing w:after="100" w:line="288" w:lineRule="auto"/>
        <w:ind w:left="259"/>
      </w:pPr>
      <w:r>
        <w:rPr>
          <w:rFonts w:ascii="Calibri" w:hAnsi="Calibri"/>
          <w:b/>
          <w:i w:val="0"/>
          <w:color w:val="17335C"/>
          <w:sz w:val="22"/>
        </w:rPr>
        <w:t xml:space="preserve">Etapa 4 — </w:t>
      </w:r>
      <w:r>
        <w:rPr>
          <w:rFonts w:ascii="Calibri" w:hAnsi="Calibri"/>
          <w:b w:val="0"/>
          <w:i w:val="0"/>
          <w:color w:val="222222"/>
          <w:sz w:val="22"/>
        </w:rPr>
        <w:t>Ao concluir, arquive com histórico e resumo.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fill="FFF2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A61B1B"/>
                <w:sz w:val="21"/>
              </w:rPr>
              <w:t>Falha de envio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Se uma mensagem falhar, preserve o texto digitado, mostre o erro e permita reenviar. Não altere a fila antes de confirmar o envio.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Fiscal, relatórios e auditoria</w:t>
      </w:r>
    </w:p>
    <w:p>
      <w:pPr>
        <w:pStyle w:val="Heading2"/>
        <w:keepNext/>
      </w:pPr>
      <w:r>
        <w:t>10.1 NFS-e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Configurações &gt; Fiscal/NFS-e. A configuração é exclusiva da Certifast Certificação Digital Ltda, CNPJ 20.776.537/0001-55, município de São Bernardo do Campo.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Serviço: 17.02/102818/1241.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CNAE: 8299-7/99.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Ambiente, credenciais e certificado devem ser protegidos.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Antes de emitir, valide tomador, endereço, CEP, e-mail e telefone.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Cancelamento exige justificativa e retorno confirmado pela prefeitura.</w:t>
      </w:r>
    </w:p>
    <w:p>
      <w:pPr>
        <w:pStyle w:val="Heading2"/>
        <w:keepNext/>
      </w:pPr>
      <w:r>
        <w:t>10.2 Relatórios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222222"/>
          <w:sz w:val="22"/>
        </w:rPr>
        <w:t>Relatórios operacionais devem filtrar por período, pedido, protocolo, parceiro, vendedor, agente e status. Relatórios de repasse devem destacar venda, imposto, base, validação, venda, custos e saldo.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Exportações disponíveis: XLSX, XLS e CSV, conforme a tela.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Filtros e ordem de colunas devem ser preservados por usuário.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Relatórios salvos devem registrar os filtros utilizados.</w:t>
      </w:r>
    </w:p>
    <w:p>
      <w:pPr>
        <w:pStyle w:val="Heading2"/>
        <w:keepNext/>
      </w:pPr>
      <w:r>
        <w:t>10.3 Checklist de implantação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Usuários possuem perfis e vínculos corretos.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Parceiros não estão duplicados e têm papéis adicionais marcados.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Pontos possuem agentes e hierarquia vinculados.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Modelo Integrado ou Revenda foi salvo em cada operação.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RBT12 e alíquota foram conferidos.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Preço base da Revenda foi cadastrado por produto.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Remunerações não ultrapassam a base após imposto.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Tabelas de preço estão vinculadas aos participantes corretos.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Chat foi testado com texto, áudio, imagem e arquivo.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NFS-e foi testada com emissão, visualização, envio e cancelamento.</w:t>
      </w:r>
    </w:p>
    <w:p>
      <w:pPr>
        <w:pStyle w:val="ListBullet"/>
        <w:spacing w:after="80" w:line="288" w:lineRule="auto"/>
        <w:ind w:left="547" w:hanging="274"/>
      </w:pPr>
      <w:r>
        <w:rPr>
          <w:rFonts w:ascii="Calibri" w:hAnsi="Calibri"/>
          <w:b w:val="0"/>
          <w:i w:val="0"/>
          <w:color w:val="222222"/>
          <w:sz w:val="22"/>
        </w:rPr>
        <w:t>☐ Relatórios e exportações foram conferidos.</w:t>
      </w:r>
    </w:p>
    <w:p>
      <w:pPr>
        <w:pStyle w:val="Heading1"/>
        <w:keepNext/>
      </w:pPr>
      <w:r>
        <w:t>Registro de alterações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7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Data</w:t>
            </w:r>
          </w:p>
        </w:tc>
        <w:tc>
          <w:tcPr>
            <w:tcW w:type="dxa" w:w="2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Responsável</w:t>
            </w:r>
          </w:p>
        </w:tc>
        <w:tc>
          <w:tcPr>
            <w:tcW w:type="dxa" w:w="374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Configuração alterada</w:t>
            </w:r>
          </w:p>
        </w:tc>
        <w:tc>
          <w:tcPr>
            <w:tcW w:type="dxa" w:w="17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35C"/>
                <w:sz w:val="20"/>
              </w:rPr>
              <w:t>Vigência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____/____/______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________________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________________________________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____/____/______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C677D"/>
        <w:sz w:val="17"/>
      </w:rPr>
      <w:t xml:space="preserve">CertiID • versão operacional 1.0 •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C677D"/>
        <w:sz w:val="17"/>
      </w:rPr>
      <w:t>AVMD SYSTEM | Manual de Configurações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55EE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5EE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3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Configurações do AVMD SYSTEM</dc:title>
  <dc:subject>CRM CertiID - configurações administrativas e operacionais</dc:subject>
  <dc:creator>CertiID</dc:creator>
  <cp:keywords>AVMD, CertiID, CRM, configurações, comissões, NFS-e, chat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