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6B962"/>
          <w:sz w:val="56"/>
          <w:szCs w:val="56"/>
        </w:rPr>
        <w:t xml:space="preserve">ideeri</w:t>
      </w:r>
    </w:p>
    <w:p>
      <w:pPr>
        <w:spacing w:after="600"/>
        <w:jc w:val="center"/>
      </w:pPr>
      <w:r>
        <w:rPr>
          <w:rFonts w:ascii="Arial" w:cs="Arial" w:eastAsia="Arial" w:hAnsi="Arial"/>
          <w:color w:val="999999"/>
          <w:sz w:val="24"/>
          <w:szCs w:val="24"/>
        </w:rPr>
        <w:t xml:space="preserve">Estimation immobilière</w:t>
      </w:r>
    </w:p>
    <w:p>
      <w:pPr>
        <w:pBdr>
          <w:top w:val="single" w:color="46B962" w:sz="2" w:space="12"/>
        </w:pBdr>
        <w:spacing w:after="120"/>
        <w:jc w:val="center"/>
      </w:pPr>
      <w:r>
        <w:rPr>
          <w:rFonts w:ascii="Arial" w:cs="Arial" w:eastAsia="Arial" w:hAnsi="Arial"/>
          <w:b/>
          <w:bCs/>
          <w:color w:val="4D4545"/>
          <w:sz w:val="36"/>
          <w:szCs w:val="36"/>
        </w:rPr>
        <w:t xml:space="preserve">COMPTE RENDU D'ESTIMATION</w:t>
      </w:r>
    </w:p>
    <w:p>
      <w:pPr>
        <w:spacing w:after="600"/>
      </w:pPr>
    </w:p>
    <w:p>
      <w:pPr>
        <w:spacing w:after="80"/>
        <w:jc w:val="center"/>
      </w:pPr>
      <w:r>
        <w:rPr>
          <w:rFonts w:ascii="Arial" w:cs="Arial" w:eastAsia="Arial" w:hAnsi="Arial"/>
          <w:color w:val="555555"/>
          <w:sz w:val="24"/>
          <w:szCs w:val="24"/>
        </w:rPr>
        <w:t xml:space="preserve">12 rue des Lilas, 69003 Lyon</w:t>
      </w:r>
    </w:p>
    <w:p>
      <w:pPr>
        <w:spacing w:after="80"/>
        <w:jc w:val="center"/>
      </w:pPr>
      <w:r>
        <w:rPr>
          <w:rFonts w:ascii="Arial" w:cs="Arial" w:eastAsia="Arial" w:hAnsi="Arial"/>
          <w:color w:val="777777"/>
          <w:sz w:val="22"/>
          <w:szCs w:val="22"/>
        </w:rPr>
        <w:t xml:space="preserve">Appartement T3 — 72,5 m²</w:t>
      </w:r>
    </w:p>
    <w:p>
      <w:pPr>
        <w:spacing w:after="600"/>
        <w:jc w:val="center"/>
      </w:pPr>
      <w:r>
        <w:rPr>
          <w:rFonts w:ascii="Arial" w:cs="Arial" w:eastAsia="Arial" w:hAnsi="Arial"/>
          <w:color w:val="777777"/>
          <w:sz w:val="22"/>
          <w:szCs w:val="22"/>
        </w:rPr>
        <w:t xml:space="preserve">4ème étage avec ascenseur</w:t>
      </w:r>
    </w:p>
    <w:p>
      <w:pPr>
        <w:spacing w:after="400"/>
      </w:pPr>
    </w:p>
    <w:p>
      <w:pPr>
        <w:spacing w:after="80"/>
        <w:jc w:val="center"/>
      </w:pPr>
      <w:r>
        <w:rPr>
          <w:rFonts w:ascii="Arial" w:cs="Arial" w:eastAsia="Arial" w:hAnsi="Arial"/>
          <w:color w:val="888888"/>
          <w:sz w:val="20"/>
          <w:szCs w:val="20"/>
        </w:rPr>
        <w:t xml:space="preserve">Propriétaire : M. Jean Dupont</w:t>
      </w:r>
    </w:p>
    <w:p>
      <w:pPr>
        <w:spacing w:after="80"/>
        <w:jc w:val="center"/>
      </w:pPr>
      <w:r>
        <w:rPr>
          <w:rFonts w:ascii="Arial" w:cs="Arial" w:eastAsia="Arial" w:hAnsi="Arial"/>
          <w:color w:val="888888"/>
          <w:sz w:val="20"/>
          <w:szCs w:val="20"/>
        </w:rPr>
        <w:t xml:space="preserve">Référence : EST-2024-0847</w:t>
      </w:r>
    </w:p>
    <w:p>
      <w:pPr>
        <w:spacing w:after="80"/>
        <w:jc w:val="center"/>
      </w:pPr>
      <w:r>
        <w:rPr>
          <w:rFonts w:ascii="Arial" w:cs="Arial" w:eastAsia="Arial" w:hAnsi="Arial"/>
          <w:color w:val="888888"/>
          <w:sz w:val="20"/>
          <w:szCs w:val="20"/>
        </w:rPr>
        <w:t xml:space="preserve">Date : 31 mars 2026</w:t>
      </w:r>
    </w:p>
    <w:p>
      <w:pPr>
        <w:jc w:val="center"/>
      </w:pPr>
      <w:r>
        <w:rPr>
          <w:rFonts w:ascii="Arial" w:cs="Arial" w:eastAsia="Arial" w:hAnsi="Arial"/>
          <w:color w:val="888888"/>
          <w:sz w:val="20"/>
          <w:szCs w:val="20"/>
        </w:rPr>
        <w:t xml:space="preserve">Agent : Manon MATRAT</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4D4545"/>
          <w:sz w:val="28"/>
          <w:szCs w:val="28"/>
        </w:rPr>
        <w:t xml:space="preserve">1. Description du bien</w:t>
      </w:r>
    </w:p>
    <w:p>
      <w:pPr>
        <w:spacing w:after="120"/>
      </w:pPr>
      <w:r>
        <w:rPr>
          <w:rFonts w:ascii="Arial" w:cs="Arial" w:eastAsia="Arial" w:hAnsi="Arial"/>
          <w:b w:val="false"/>
          <w:bCs w:val="false"/>
          <w:color w:val="444444"/>
          <w:sz w:val="20"/>
          <w:szCs w:val="20"/>
        </w:rPr>
        <w:t xml:space="preserve">Ce rapport présente l'analyse complète réalisée dans le cadre de l'estimation du bien situé au 12 rue des Lilas, 69003 Lyon.</w:t>
      </w:r>
    </w:p>
    <w:p>
      <w:pPr>
        <w:spacing w:before="80" w:after="80"/>
      </w:pPr>
    </w:p>
    <w:p>
      <w:pPr>
        <w:pStyle w:val="Heading2"/>
        <w:spacing w:before="240" w:after="120"/>
      </w:pPr>
      <w:r>
        <w:rPr>
          <w:rFonts w:ascii="Arial" w:cs="Arial" w:eastAsia="Arial" w:hAnsi="Arial"/>
          <w:b/>
          <w:bCs/>
          <w:color w:val="555555"/>
          <w:sz w:val="24"/>
          <w:szCs w:val="24"/>
        </w:rPr>
        <w:t xml:space="preserve">Caractéristiques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Caractéristique</w:t>
            </w:r>
          </w:p>
        </w:tc>
        <w:tc>
          <w:tcPr>
            <w:tcW w:type="dxa" w:w="582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Adresse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rue des Lilas, 69003 Lyon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Type de bien</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Appartement T3</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Surface habitable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72,5 m²</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Étage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4ème étage avec ascenseur</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Année de construction</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1985</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DPE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Classe D (234 kWh/m²/an)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Nombre de pièces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pièces (2 chambres, 1 séjour)</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Chauffage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Collectif gaz</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Parking</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place en sous-sol</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Cave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Oui</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Balcon</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Oui — 6 m²</w:t>
            </w:r>
          </w:p>
        </w:tc>
      </w:tr>
    </w:tbl>
    <w:p>
      <w:pPr>
        <w:spacing w:before="80" w:after="80"/>
      </w:pPr>
    </w:p>
    <w:p>
      <w:pPr>
        <w:pStyle w:val="Heading2"/>
        <w:spacing w:before="240" w:after="120"/>
      </w:pPr>
      <w:r>
        <w:rPr>
          <w:rFonts w:ascii="Arial" w:cs="Arial" w:eastAsia="Arial" w:hAnsi="Arial"/>
          <w:b/>
          <w:bCs/>
          <w:color w:val="555555"/>
          <w:sz w:val="24"/>
          <w:szCs w:val="24"/>
        </w:rPr>
        <w:t xml:space="preserve">Complétude des données</w:t>
      </w:r>
    </w:p>
    <w:p>
      <w:pPr>
        <w:spacing w:after="120"/>
      </w:pPr>
      <w:r>
        <w:rPr>
          <w:rFonts w:ascii="Arial" w:cs="Arial" w:eastAsia="Arial" w:hAnsi="Arial"/>
          <w:b w:val="false"/>
          <w:bCs w:val="false"/>
          <w:color w:val="444444"/>
          <w:sz w:val="20"/>
          <w:szCs w:val="20"/>
        </w:rPr>
        <w:t xml:space="preserve">Le score de complétude des données collectées atteint 72%, ce qui permet une estimation fiable. Les informations manquantes portent essentiellement sur l'historique des travaux de copropriété.</w:t>
      </w:r>
    </w:p>
    <w:p>
      <w:r>
        <w:br w:type="page"/>
      </w:r>
    </w:p>
    <w:p>
      <w:pPr>
        <w:pStyle w:val="Heading1"/>
        <w:spacing w:before="360" w:after="200"/>
      </w:pPr>
      <w:r>
        <w:rPr>
          <w:rFonts w:ascii="Arial" w:cs="Arial" w:eastAsia="Arial" w:hAnsi="Arial"/>
          <w:b/>
          <w:bCs/>
          <w:color w:val="4D4545"/>
          <w:sz w:val="28"/>
          <w:szCs w:val="28"/>
        </w:rPr>
        <w:t xml:space="preserve">2. Contexte de zone</w:t>
      </w:r>
    </w:p>
    <w:p>
      <w:pPr>
        <w:spacing w:after="120"/>
      </w:pPr>
      <w:r>
        <w:rPr>
          <w:rFonts w:ascii="Arial" w:cs="Arial" w:eastAsia="Arial" w:hAnsi="Arial"/>
          <w:b w:val="false"/>
          <w:bCs w:val="false"/>
          <w:color w:val="444444"/>
          <w:sz w:val="20"/>
          <w:szCs w:val="20"/>
        </w:rPr>
        <w:t xml:space="preserve">L'analyse de la zone géographique permet de contextualiser le bien dans son environnement immédiat et d'évaluer l'attractivité du quartier.</w:t>
      </w:r>
    </w:p>
    <w:p>
      <w:pPr>
        <w:spacing w:before="80" w:after="80"/>
      </w:pPr>
    </w:p>
    <w:p>
      <w:pPr>
        <w:pStyle w:val="Heading2"/>
        <w:spacing w:before="240" w:after="120"/>
      </w:pPr>
      <w:r>
        <w:rPr>
          <w:rFonts w:ascii="Arial" w:cs="Arial" w:eastAsia="Arial" w:hAnsi="Arial"/>
          <w:b/>
          <w:bCs/>
          <w:color w:val="555555"/>
          <w:sz w:val="24"/>
          <w:szCs w:val="24"/>
        </w:rPr>
        <w:t xml:space="preserve">Marché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582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médian au m²</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4 280 €/m²</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Évolution sur 12 mois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Délai moyen de vente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jours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Volume de transactions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156 ventes / an dans le secteur</w:t>
            </w:r>
          </w:p>
        </w:tc>
      </w:tr>
    </w:tbl>
    <w:p>
      <w:pPr>
        <w:spacing w:before="80" w:after="80"/>
      </w:pPr>
    </w:p>
    <w:p>
      <w:pPr>
        <w:pStyle w:val="Heading2"/>
        <w:spacing w:before="240" w:after="120"/>
      </w:pPr>
      <w:r>
        <w:rPr>
          <w:rFonts w:ascii="Arial" w:cs="Arial" w:eastAsia="Arial" w:hAnsi="Arial"/>
          <w:b/>
          <w:bCs/>
          <w:color w:val="555555"/>
          <w:sz w:val="24"/>
          <w:szCs w:val="24"/>
        </w:rPr>
        <w:t xml:space="preserve">Environnement et accessibilité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Critère</w:t>
            </w:r>
          </w:p>
        </w:tc>
        <w:tc>
          <w:tcPr>
            <w:tcW w:type="dxa" w:w="582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Walkscore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87 / 100 — Très praticable à pied</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Transport le plus proche</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Métro D — 350 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Écoles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établissements dans un rayon de 500 m</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Commerces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Quartier commercial actif</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Espaces verts</w:t>
            </w:r>
          </w:p>
        </w:tc>
        <w:tc>
          <w:tcPr>
            <w:tcW w:type="dxa" w:w="58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Parc Bazin à 200 m</w:t>
            </w:r>
          </w:p>
        </w:tc>
      </w:tr>
    </w:tbl>
    <w:p>
      <w:r>
        <w:br w:type="page"/>
      </w:r>
    </w:p>
    <w:p>
      <w:pPr>
        <w:pStyle w:val="Heading1"/>
        <w:spacing w:before="360" w:after="200"/>
      </w:pPr>
      <w:r>
        <w:rPr>
          <w:rFonts w:ascii="Arial" w:cs="Arial" w:eastAsia="Arial" w:hAnsi="Arial"/>
          <w:b/>
          <w:bCs/>
          <w:color w:val="4D4545"/>
          <w:sz w:val="28"/>
          <w:szCs w:val="28"/>
        </w:rPr>
        <w:t xml:space="preserve">3. Analyse des comparables</w:t>
      </w:r>
    </w:p>
    <w:p>
      <w:pPr>
        <w:spacing w:after="120"/>
      </w:pPr>
      <w:r>
        <w:rPr>
          <w:rFonts w:ascii="Arial" w:cs="Arial" w:eastAsia="Arial" w:hAnsi="Arial"/>
          <w:b w:val="false"/>
          <w:bCs w:val="false"/>
          <w:color w:val="444444"/>
          <w:sz w:val="20"/>
          <w:szCs w:val="20"/>
        </w:rPr>
        <w:t xml:space="preserve">Trois biens comparables vendus récemment dans le même secteur ont été sélectionnés pour affiner l'estimation.</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225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Comparable 1</w:t>
            </w:r>
          </w:p>
        </w:tc>
        <w:tc>
          <w:tcPr>
            <w:tcW w:type="dxa" w:w="2258"/>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Comparable 2</w:t>
            </w:r>
          </w:p>
        </w:tc>
        <w:tc>
          <w:tcPr>
            <w:tcW w:type="dxa" w:w="225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Comparable 3</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Adresse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rue Voltaire</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av. Lacassagne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 rue Baraban</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T3</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T3</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T3</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Surface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 m²</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 m²</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71 m²</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de vente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275 000 €</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320 000 €</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298 000 €</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 m²</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4 044 €</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4 267 €</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4 197 €</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Score similarité</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89%</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94%</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91%</w:t>
            </w:r>
          </w:p>
        </w:tc>
      </w:tr>
      <w:tr>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 de vente</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 2025</w:t>
            </w:r>
          </w:p>
        </w:tc>
        <w:tc>
          <w:tcPr>
            <w:tcW w:type="dxa" w:w="225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Jan. 2026</w:t>
            </w:r>
          </w:p>
        </w:tc>
        <w:tc>
          <w:tcPr>
            <w:tcW w:type="dxa" w:w="225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Déc. 2025</w:t>
            </w:r>
          </w:p>
        </w:tc>
      </w:tr>
    </w:tbl>
    <w:p>
      <w:pPr>
        <w:spacing w:before="80" w:after="80"/>
      </w:pPr>
    </w:p>
    <w:p>
      <w:pPr>
        <w:spacing w:after="120"/>
      </w:pPr>
      <w:r>
        <w:rPr>
          <w:rFonts w:ascii="Arial" w:cs="Arial" w:eastAsia="Arial" w:hAnsi="Arial"/>
          <w:b/>
          <w:bCs/>
          <w:color w:val="444444"/>
          <w:sz w:val="20"/>
          <w:szCs w:val="20"/>
        </w:rPr>
        <w:t xml:space="preserve">La moyenne pondérée des comparables donne un prix de référence de 4 172 €/m², soit une fourchette appliquée au bien de 285 000 € à 320 000 €.</w:t>
      </w:r>
    </w:p>
    <w:p>
      <w:r>
        <w:br w:type="page"/>
      </w:r>
    </w:p>
    <w:p>
      <w:pPr>
        <w:pStyle w:val="Heading1"/>
        <w:spacing w:before="360" w:after="200"/>
      </w:pPr>
      <w:r>
        <w:rPr>
          <w:rFonts w:ascii="Arial" w:cs="Arial" w:eastAsia="Arial" w:hAnsi="Arial"/>
          <w:b/>
          <w:bCs/>
          <w:color w:val="4D4545"/>
          <w:sz w:val="28"/>
          <w:szCs w:val="28"/>
        </w:rPr>
        <w:t xml:space="preserve">4. Tension du marché</w:t>
      </w:r>
    </w:p>
    <w:p>
      <w:pPr>
        <w:spacing w:after="120"/>
      </w:pPr>
      <w:r>
        <w:rPr>
          <w:rFonts w:ascii="Arial" w:cs="Arial" w:eastAsia="Arial" w:hAnsi="Arial"/>
          <w:b w:val="false"/>
          <w:bCs w:val="false"/>
          <w:color w:val="444444"/>
          <w:sz w:val="20"/>
          <w:szCs w:val="20"/>
        </w:rPr>
        <w:t xml:space="preserve">L'analyse de la tension du marché permet d'évaluer le rapport entre l'offre et la demande pour des biens similaires dans le secteur.</w:t>
      </w:r>
    </w:p>
    <w:p>
      <w:pPr>
        <w:spacing w:before="80" w:after="80"/>
      </w:pPr>
    </w:p>
    <w:p>
      <w:pPr>
        <w:pStyle w:val="Heading2"/>
        <w:spacing w:before="240" w:after="120"/>
      </w:pPr>
      <w:r>
        <w:rPr>
          <w:rFonts w:ascii="Arial" w:cs="Arial" w:eastAsia="Arial" w:hAnsi="Arial"/>
          <w:b/>
          <w:bCs/>
          <w:color w:val="555555"/>
          <w:sz w:val="24"/>
          <w:szCs w:val="24"/>
        </w:rPr>
        <w:t xml:space="preserve">Indicateurs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Indicateur</w:t>
            </w:r>
          </w:p>
        </w:tc>
        <w:tc>
          <w:tcPr>
            <w:tcW w:type="dxa" w:w="4513"/>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r>
      <w:tr>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Ratio demande / offre</w:t>
            </w:r>
          </w:p>
        </w:tc>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46B962"/>
                <w:sz w:val="20"/>
                <w:szCs w:val="20"/>
              </w:rPr>
              <w:t xml:space="preserve">3,2x — Marché tendu</w:t>
            </w:r>
          </w:p>
        </w:tc>
      </w:tr>
      <w:tr>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Acquéreurs actifs correspondants</w:t>
            </w:r>
          </w:p>
        </w:tc>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 acquéreurs qualifiés</w:t>
            </w:r>
          </w:p>
        </w:tc>
      </w:tr>
      <w:tr>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Biens similaires en vente</w:t>
            </w:r>
          </w:p>
        </w:tc>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biens concurrents</w:t>
            </w:r>
          </w:p>
        </w:tc>
      </w:tr>
      <w:tr>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Délai moyen de vente</w:t>
            </w:r>
          </w:p>
        </w:tc>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jours</w:t>
            </w:r>
          </w:p>
        </w:tc>
      </w:tr>
    </w:tbl>
    <w:p>
      <w:pPr>
        <w:spacing w:before="80" w:after="80"/>
      </w:pPr>
    </w:p>
    <w:p>
      <w:pPr>
        <w:pStyle w:val="Heading2"/>
        <w:spacing w:before="240" w:after="120"/>
      </w:pPr>
      <w:r>
        <w:rPr>
          <w:rFonts w:ascii="Arial" w:cs="Arial" w:eastAsia="Arial" w:hAnsi="Arial"/>
          <w:b/>
          <w:bCs/>
          <w:color w:val="555555"/>
          <w:sz w:val="24"/>
          <w:szCs w:val="24"/>
        </w:rPr>
        <w:t xml:space="preserve">Impact du prix sur la demande</w:t>
      </w:r>
    </w:p>
    <w:p>
      <w:pPr>
        <w:spacing w:after="120"/>
      </w:pPr>
      <w:r>
        <w:rPr>
          <w:rFonts w:ascii="Arial" w:cs="Arial" w:eastAsia="Arial" w:hAnsi="Arial"/>
          <w:b w:val="false"/>
          <w:bCs w:val="false"/>
          <w:color w:val="444444"/>
          <w:sz w:val="20"/>
          <w:szCs w:val="20"/>
        </w:rPr>
        <w:t xml:space="preserve">La simulation de l'impact du prix sur le nombre d'acquéreurs potentiels met en évidence trois scénarios :</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Scénario</w:t>
            </w:r>
          </w:p>
        </w:tc>
        <w:tc>
          <w:tcPr>
            <w:tcW w:type="dxa" w:w="3009"/>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Prix</w:t>
            </w:r>
          </w:p>
        </w:tc>
        <w:tc>
          <w:tcPr>
            <w:tcW w:type="dxa" w:w="3009"/>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Acquéreurs potentiels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Vente rapide</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285 000 €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46B962"/>
                <w:sz w:val="20"/>
                <w:szCs w:val="20"/>
              </w:rPr>
              <w:t xml:space="preserve">23 acquéreurs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marché</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305 000 €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acquéreurs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haut</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20"/>
                <w:szCs w:val="20"/>
              </w:rPr>
              <w:t xml:space="preserve">8 acquéreurs</w:t>
            </w:r>
          </w:p>
        </w:tc>
      </w:tr>
    </w:tbl>
    <w:p>
      <w:r>
        <w:br w:type="page"/>
      </w:r>
    </w:p>
    <w:p>
      <w:pPr>
        <w:pStyle w:val="Heading1"/>
        <w:spacing w:before="360" w:after="200"/>
      </w:pPr>
      <w:r>
        <w:rPr>
          <w:rFonts w:ascii="Arial" w:cs="Arial" w:eastAsia="Arial" w:hAnsi="Arial"/>
          <w:b/>
          <w:bCs/>
          <w:color w:val="4D4545"/>
          <w:sz w:val="28"/>
          <w:szCs w:val="28"/>
        </w:rPr>
        <w:t xml:space="preserve">5. Synthèse et avis de valeur</w:t>
      </w:r>
    </w:p>
    <w:p>
      <w:pPr>
        <w:spacing w:after="120"/>
      </w:pPr>
      <w:r>
        <w:rPr>
          <w:rFonts w:ascii="Arial" w:cs="Arial" w:eastAsia="Arial" w:hAnsi="Arial"/>
          <w:b w:val="false"/>
          <w:bCs w:val="false"/>
          <w:color w:val="444444"/>
          <w:sz w:val="20"/>
          <w:szCs w:val="20"/>
        </w:rPr>
        <w:t xml:space="preserve">Cette section présente la synthèse de toutes les analyses précédentes et l'avis de valeur final.</w:t>
      </w:r>
    </w:p>
    <w:p>
      <w:pPr>
        <w:spacing w:before="80" w:after="80"/>
      </w:pPr>
    </w:p>
    <w:p>
      <w:pPr>
        <w:pStyle w:val="Heading2"/>
        <w:spacing w:before="240" w:after="120"/>
      </w:pPr>
      <w:r>
        <w:rPr>
          <w:rFonts w:ascii="Arial" w:cs="Arial" w:eastAsia="Arial" w:hAnsi="Arial"/>
          <w:b/>
          <w:bCs/>
          <w:color w:val="555555"/>
          <w:sz w:val="24"/>
          <w:szCs w:val="24"/>
        </w:rPr>
        <w:t xml:space="preserve">Décomposition de l'estimation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Élément</w:t>
            </w:r>
          </w:p>
        </w:tc>
        <w:tc>
          <w:tcPr>
            <w:tcW w:type="dxa" w:w="3526"/>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 Impact</w:t>
            </w:r>
          </w:p>
        </w:tc>
      </w:tr>
      <w:tr>
        <w:tc>
          <w:tcPr>
            <w:tcW w:type="dxa" w:w="5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Base comparable pondérée</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302 470 €</w:t>
            </w:r>
          </w:p>
        </w:tc>
      </w:tr>
      <w:tr>
        <w:tc>
          <w:tcPr>
            <w:tcW w:type="dxa" w:w="5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Correction zone (+1,2%)</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right"/>
            </w:pPr>
            <w:r>
              <w:rPr>
                <w:rFonts w:ascii="Arial" w:cs="Arial" w:eastAsia="Arial" w:hAnsi="Arial"/>
                <w:b w:val="false"/>
                <w:bCs w:val="false"/>
                <w:color w:val="46B962"/>
                <w:sz w:val="20"/>
                <w:szCs w:val="20"/>
              </w:rPr>
              <w:t xml:space="preserve">+ 3 630 €</w:t>
            </w:r>
          </w:p>
        </w:tc>
      </w:tr>
      <w:tr>
        <w:tc>
          <w:tcPr>
            <w:tcW w:type="dxa" w:w="5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Correction tension marché (+0,7%)</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right"/>
            </w:pPr>
            <w:r>
              <w:rPr>
                <w:rFonts w:ascii="Arial" w:cs="Arial" w:eastAsia="Arial" w:hAnsi="Arial"/>
                <w:b w:val="false"/>
                <w:bCs w:val="false"/>
                <w:color w:val="46B962"/>
                <w:sz w:val="20"/>
                <w:szCs w:val="20"/>
              </w:rPr>
              <w:t xml:space="preserve">+ 2 117 €</w:t>
            </w:r>
          </w:p>
        </w:tc>
      </w:tr>
      <w:tr>
        <w:tc>
          <w:tcPr>
            <w:tcW w:type="dxa" w:w="5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Corrections spécifiques (−1,5%)</w:t>
            </w:r>
          </w:p>
        </w:tc>
        <w:tc>
          <w:tcPr>
            <w:tcW w:type="dxa" w:w="3526"/>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right"/>
            </w:pPr>
            <w:r>
              <w:rPr>
                <w:rFonts w:ascii="Arial" w:cs="Arial" w:eastAsia="Arial" w:hAnsi="Arial"/>
                <w:b w:val="false"/>
                <w:bCs w:val="false"/>
                <w:color w:val="E74C3C"/>
                <w:sz w:val="20"/>
                <w:szCs w:val="20"/>
              </w:rPr>
              <w:t xml:space="preserve">− 4 537 €</w:t>
            </w:r>
          </w:p>
        </w:tc>
      </w:tr>
    </w:tbl>
    <w:p>
      <w:pPr>
        <w:spacing w:before="80" w:after="80"/>
      </w:pPr>
    </w:p>
    <w:p>
      <w:pPr>
        <w:pStyle w:val="Heading2"/>
        <w:spacing w:before="240" w:after="120"/>
      </w:pPr>
      <w:r>
        <w:rPr>
          <w:rFonts w:ascii="Arial" w:cs="Arial" w:eastAsia="Arial" w:hAnsi="Arial"/>
          <w:b/>
          <w:bCs/>
          <w:color w:val="555555"/>
          <w:sz w:val="24"/>
          <w:szCs w:val="24"/>
        </w:rPr>
        <w:t xml:space="preserve">Points forts du bien</w:t>
      </w:r>
    </w:p>
    <w:p>
      <w:pPr>
        <w:pStyle w:val="ListParagraph"/>
        <w:numPr>
          <w:ilvl w:val="0"/>
          <w:numId w:val="2"/>
        </w:numPr>
        <w:spacing w:after="60"/>
      </w:pPr>
      <w:r>
        <w:rPr>
          <w:rFonts w:ascii="Arial" w:cs="Arial" w:eastAsia="Arial" w:hAnsi="Arial"/>
          <w:color w:val="444444"/>
          <w:sz w:val="20"/>
          <w:szCs w:val="20"/>
        </w:rPr>
        <w:t xml:space="preserve">Localisation attractive — proximité métro et commerces</w:t>
      </w:r>
    </w:p>
    <w:p>
      <w:pPr>
        <w:pStyle w:val="ListParagraph"/>
        <w:numPr>
          <w:ilvl w:val="0"/>
          <w:numId w:val="2"/>
        </w:numPr>
        <w:spacing w:after="60"/>
      </w:pPr>
      <w:r>
        <w:rPr>
          <w:rFonts w:ascii="Arial" w:cs="Arial" w:eastAsia="Arial" w:hAnsi="Arial"/>
          <w:color w:val="444444"/>
          <w:sz w:val="20"/>
          <w:szCs w:val="20"/>
        </w:rPr>
        <w:t xml:space="preserve">4ème étage avec ascenseur — luminosité et calme</w:t>
      </w:r>
    </w:p>
    <w:p>
      <w:pPr>
        <w:pStyle w:val="ListParagraph"/>
        <w:numPr>
          <w:ilvl w:val="0"/>
          <w:numId w:val="2"/>
        </w:numPr>
        <w:spacing w:after="60"/>
      </w:pPr>
      <w:r>
        <w:rPr>
          <w:rFonts w:ascii="Arial" w:cs="Arial" w:eastAsia="Arial" w:hAnsi="Arial"/>
          <w:color w:val="444444"/>
          <w:sz w:val="20"/>
          <w:szCs w:val="20"/>
        </w:rPr>
        <w:t xml:space="preserve">Balcon de 6 m² — extérieur apprécié</w:t>
      </w:r>
    </w:p>
    <w:p>
      <w:pPr>
        <w:pStyle w:val="ListParagraph"/>
        <w:numPr>
          <w:ilvl w:val="0"/>
          <w:numId w:val="2"/>
        </w:numPr>
        <w:spacing w:after="60"/>
      </w:pPr>
      <w:r>
        <w:rPr>
          <w:rFonts w:ascii="Arial" w:cs="Arial" w:eastAsia="Arial" w:hAnsi="Arial"/>
          <w:color w:val="444444"/>
          <w:sz w:val="20"/>
          <w:szCs w:val="20"/>
        </w:rPr>
        <w:t xml:space="preserve">Place de parking en sous-sol incluse</w:t>
      </w:r>
    </w:p>
    <w:p>
      <w:pPr>
        <w:pStyle w:val="ListParagraph"/>
        <w:numPr>
          <w:ilvl w:val="0"/>
          <w:numId w:val="2"/>
        </w:numPr>
        <w:spacing w:after="60"/>
      </w:pPr>
      <w:r>
        <w:rPr>
          <w:rFonts w:ascii="Arial" w:cs="Arial" w:eastAsia="Arial" w:hAnsi="Arial"/>
          <w:color w:val="444444"/>
          <w:sz w:val="20"/>
          <w:szCs w:val="20"/>
        </w:rPr>
        <w:t xml:space="preserve">Marché tendu (ratio 3,2x) — forte demande</w:t>
      </w:r>
    </w:p>
    <w:p>
      <w:pPr>
        <w:pStyle w:val="ListParagraph"/>
        <w:numPr>
          <w:ilvl w:val="0"/>
          <w:numId w:val="2"/>
        </w:numPr>
        <w:spacing w:after="60"/>
      </w:pPr>
      <w:r>
        <w:rPr>
          <w:rFonts w:ascii="Arial" w:cs="Arial" w:eastAsia="Arial" w:hAnsi="Arial"/>
          <w:color w:val="444444"/>
          <w:sz w:val="20"/>
          <w:szCs w:val="20"/>
        </w:rPr>
        <w:t xml:space="preserve">Walkscore élevé (87/100)</w:t>
      </w:r>
    </w:p>
    <w:p>
      <w:pPr>
        <w:pStyle w:val="ListParagraph"/>
        <w:numPr>
          <w:ilvl w:val="0"/>
          <w:numId w:val="2"/>
        </w:numPr>
        <w:spacing w:after="60"/>
      </w:pPr>
      <w:r>
        <w:rPr>
          <w:rFonts w:ascii="Arial" w:cs="Arial" w:eastAsia="Arial" w:hAnsi="Arial"/>
          <w:color w:val="444444"/>
          <w:sz w:val="20"/>
          <w:szCs w:val="20"/>
        </w:rPr>
        <w:t xml:space="preserve">Comparables récents et fiables (similarité 89-94%)</w:t>
      </w:r>
    </w:p>
    <w:p>
      <w:pPr>
        <w:spacing w:before="80" w:after="80"/>
      </w:pPr>
    </w:p>
    <w:p>
      <w:pPr>
        <w:pStyle w:val="Heading2"/>
        <w:spacing w:before="240" w:after="120"/>
      </w:pPr>
      <w:r>
        <w:rPr>
          <w:rFonts w:ascii="Arial" w:cs="Arial" w:eastAsia="Arial" w:hAnsi="Arial"/>
          <w:b/>
          <w:bCs/>
          <w:color w:val="555555"/>
          <w:sz w:val="24"/>
          <w:szCs w:val="24"/>
        </w:rPr>
        <w:t xml:space="preserve">Points de vigilance</w:t>
      </w:r>
    </w:p>
    <w:p>
      <w:pPr>
        <w:pStyle w:val="ListParagraph"/>
        <w:numPr>
          <w:ilvl w:val="0"/>
          <w:numId w:val="2"/>
        </w:numPr>
        <w:spacing w:after="60"/>
      </w:pPr>
      <w:r>
        <w:rPr>
          <w:rFonts w:ascii="Arial" w:cs="Arial" w:eastAsia="Arial" w:hAnsi="Arial"/>
          <w:color w:val="444444"/>
          <w:sz w:val="20"/>
          <w:szCs w:val="20"/>
        </w:rPr>
        <w:t xml:space="preserve">DPE classe D — peut nécessiter des travaux d'amélioration énergétique</w:t>
      </w:r>
    </w:p>
    <w:p>
      <w:pPr>
        <w:pStyle w:val="ListParagraph"/>
        <w:numPr>
          <w:ilvl w:val="0"/>
          <w:numId w:val="2"/>
        </w:numPr>
        <w:spacing w:after="60"/>
      </w:pPr>
      <w:r>
        <w:rPr>
          <w:rFonts w:ascii="Arial" w:cs="Arial" w:eastAsia="Arial" w:hAnsi="Arial"/>
          <w:color w:val="444444"/>
          <w:sz w:val="20"/>
          <w:szCs w:val="20"/>
        </w:rPr>
        <w:t xml:space="preserve">Construction 1985 — vérifier l'état de la copropriété</w:t>
      </w:r>
    </w:p>
    <w:p>
      <w:pPr>
        <w:pStyle w:val="ListParagraph"/>
        <w:numPr>
          <w:ilvl w:val="0"/>
          <w:numId w:val="2"/>
        </w:numPr>
        <w:spacing w:after="60"/>
      </w:pPr>
      <w:r>
        <w:rPr>
          <w:rFonts w:ascii="Arial" w:cs="Arial" w:eastAsia="Arial" w:hAnsi="Arial"/>
          <w:color w:val="444444"/>
          <w:sz w:val="20"/>
          <w:szCs w:val="20"/>
        </w:rPr>
        <w:t xml:space="preserve">Chauffage collectif gaz — charges potentiellement élevées</w:t>
      </w:r>
    </w:p>
    <w:p>
      <w:pPr>
        <w:pStyle w:val="ListParagraph"/>
        <w:numPr>
          <w:ilvl w:val="0"/>
          <w:numId w:val="2"/>
        </w:numPr>
        <w:spacing w:after="60"/>
      </w:pPr>
      <w:r>
        <w:rPr>
          <w:rFonts w:ascii="Arial" w:cs="Arial" w:eastAsia="Arial" w:hAnsi="Arial"/>
          <w:color w:val="444444"/>
          <w:sz w:val="20"/>
          <w:szCs w:val="20"/>
        </w:rPr>
        <w:t xml:space="preserve">Complétude des données à 72% — historique travaux manquant</w:t>
      </w:r>
    </w:p>
    <w:p>
      <w:pPr>
        <w:pStyle w:val="ListParagraph"/>
        <w:numPr>
          <w:ilvl w:val="0"/>
          <w:numId w:val="2"/>
        </w:numPr>
        <w:spacing w:after="60"/>
      </w:pPr>
      <w:r>
        <w:rPr>
          <w:rFonts w:ascii="Arial" w:cs="Arial" w:eastAsia="Arial" w:hAnsi="Arial"/>
          <w:color w:val="444444"/>
          <w:sz w:val="20"/>
          <w:szCs w:val="20"/>
        </w:rPr>
        <w:t xml:space="preserve">7 biens concurrents actuellement en vente dans le secteur</w:t>
      </w:r>
    </w:p>
    <w:p>
      <w:r>
        <w:br w:type="page"/>
      </w:r>
    </w:p>
    <w:p>
      <w:pPr>
        <w:pStyle w:val="Heading1"/>
        <w:spacing w:before="360" w:after="200"/>
      </w:pPr>
      <w:r>
        <w:rPr>
          <w:rFonts w:ascii="Arial" w:cs="Arial" w:eastAsia="Arial" w:hAnsi="Arial"/>
          <w:b/>
          <w:bCs/>
          <w:color w:val="4D4545"/>
          <w:sz w:val="28"/>
          <w:szCs w:val="28"/>
        </w:rPr>
        <w:t xml:space="preserve">Avis de valeur</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6B962" w:sz="2"/>
              <w:left w:val="single" w:color="46B962" w:sz="2"/>
              <w:bottom w:val="single" w:color="46B962" w:sz="2"/>
              <w:right w:val="single" w:color="46B962" w:sz="2"/>
            </w:tcBorders>
            <w:shd w:fill="E8F5E9" w:val="clear"/>
            <w:tcMar>
              <w:top w:type="dxa" w:w="300"/>
              <w:left w:type="dxa" w:w="200"/>
              <w:bottom w:type="dxa" w:w="300"/>
              <w:right w:type="dxa" w:w="200"/>
            </w:tcMar>
          </w:tcPr>
          <w:p>
            <w:pPr>
              <w:spacing w:after="120"/>
              <w:jc w:val="center"/>
            </w:pPr>
            <w:r>
              <w:rPr>
                <w:rFonts w:ascii="Arial" w:cs="Arial" w:eastAsia="Arial" w:hAnsi="Arial"/>
                <w:b/>
                <w:bCs/>
                <w:color w:val="555555"/>
                <w:sz w:val="20"/>
                <w:szCs w:val="20"/>
              </w:rPr>
              <w:t xml:space="preserve">AVIS DE VALEUR</w:t>
            </w:r>
          </w:p>
          <w:p>
            <w:pPr>
              <w:spacing w:after="120"/>
              <w:jc w:val="center"/>
            </w:pPr>
            <w:r>
              <w:rPr>
                <w:rFonts w:ascii="Arial" w:cs="Arial" w:eastAsia="Arial" w:hAnsi="Arial"/>
                <w:b/>
                <w:bCs/>
                <w:color w:val="46B962"/>
                <w:sz w:val="48"/>
                <w:szCs w:val="48"/>
              </w:rPr>
              <w:t xml:space="preserve">305 000 €</w:t>
            </w:r>
          </w:p>
          <w:p>
            <w:pPr>
              <w:spacing w:after="60"/>
              <w:jc w:val="center"/>
            </w:pPr>
            <w:r>
              <w:rPr>
                <w:rFonts w:ascii="Arial" w:cs="Arial" w:eastAsia="Arial" w:hAnsi="Arial"/>
                <w:color w:val="777777"/>
                <w:sz w:val="22"/>
                <w:szCs w:val="22"/>
              </w:rPr>
              <w:t xml:space="preserve">soit 4 207 € / m²</w:t>
            </w:r>
          </w:p>
          <w:p>
            <w:pPr>
              <w:jc w:val="center"/>
            </w:pPr>
            <w:r>
              <w:rPr>
                <w:rFonts w:ascii="Arial" w:cs="Arial" w:eastAsia="Arial" w:hAnsi="Arial"/>
                <w:color w:val="888888"/>
                <w:sz w:val="20"/>
                <w:szCs w:val="20"/>
              </w:rPr>
              <w:t xml:space="preserve">Fourchette : 285 000 € — 320 000 €</w:t>
            </w:r>
          </w:p>
        </w:tc>
      </w:tr>
    </w:tbl>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Indice de confiance</w:t>
            </w:r>
          </w:p>
        </w:tc>
        <w:tc>
          <w:tcPr>
            <w:tcW w:type="dxa" w:w="4513"/>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right"/>
            </w:pPr>
            <w:r>
              <w:rPr>
                <w:rFonts w:ascii="Arial" w:cs="Arial" w:eastAsia="Arial" w:hAnsi="Arial"/>
                <w:b/>
                <w:bCs/>
                <w:color w:val="46B962"/>
                <w:sz w:val="20"/>
                <w:szCs w:val="20"/>
              </w:rPr>
              <w:t xml:space="preserve">78 / 100</w:t>
            </w:r>
          </w:p>
        </w:tc>
      </w:tr>
    </w:tbl>
    <w:p>
      <w:pPr>
        <w:spacing w:before="80" w:after="80"/>
      </w:pPr>
    </w:p>
    <w:p>
      <w:pPr>
        <w:pStyle w:val="Heading2"/>
        <w:spacing w:before="240" w:after="120"/>
      </w:pPr>
      <w:r>
        <w:rPr>
          <w:rFonts w:ascii="Arial" w:cs="Arial" w:eastAsia="Arial" w:hAnsi="Arial"/>
          <w:b/>
          <w:bCs/>
          <w:color w:val="555555"/>
          <w:sz w:val="24"/>
          <w:szCs w:val="24"/>
        </w:rPr>
        <w:t xml:space="preserve">Stratégies de mise en vente</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Stratégie</w:t>
            </w:r>
          </w:p>
        </w:tc>
        <w:tc>
          <w:tcPr>
            <w:tcW w:type="dxa" w:w="3009"/>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Prix affiché</w:t>
            </w:r>
          </w:p>
        </w:tc>
        <w:tc>
          <w:tcPr>
            <w:tcW w:type="dxa" w:w="3009"/>
            <w:tcBorders>
              <w:top w:val="single" w:color="E0E0E0" w:sz="1"/>
              <w:left w:val="single" w:color="E0E0E0" w:sz="1"/>
              <w:bottom w:val="single" w:color="E0E0E0" w:sz="1"/>
              <w:right w:val="single" w:color="E0E0E0" w:sz="1"/>
            </w:tcBorders>
            <w:shd w:fill="4D454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Délai estimé</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Vente rapide</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285 000 €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46B962"/>
                <w:sz w:val="20"/>
                <w:szCs w:val="20"/>
              </w:rPr>
              <w:t xml:space="preserve">&lt; 30 jours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marché (recommandé)</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305 000 €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à 60 jours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Valorisation haute</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320 000 €</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20"/>
                <w:szCs w:val="20"/>
              </w:rPr>
              <w:t xml:space="preserve">90+ jours</w:t>
            </w:r>
          </w:p>
        </w:tc>
      </w:tr>
    </w:tbl>
    <w:p>
      <w:pPr>
        <w:spacing w:before="80" w:after="80"/>
      </w:pPr>
    </w:p>
    <w:p>
      <w:pPr>
        <w:spacing w:before="80" w:after="80"/>
      </w:pPr>
    </w:p>
    <w:p>
      <w:pPr>
        <w:spacing w:after="120"/>
      </w:pPr>
      <w:r>
        <w:rPr>
          <w:rFonts w:ascii="Arial" w:cs="Arial" w:eastAsia="Arial" w:hAnsi="Arial"/>
          <w:b w:val="false"/>
          <w:bCs w:val="false"/>
          <w:color w:val="999999"/>
          <w:sz w:val="20"/>
          <w:szCs w:val="20"/>
        </w:rPr>
        <w:t xml:space="preserve">Ce compte rendu a été généré automatiquement par la plateforme ideeri sur la base des données collectées et des analyses de marché. Il ne constitue pas un avis de valeur au sens réglementaire et ne saurait engager la responsabilité de l'agence.</w:t>
      </w:r>
    </w:p>
    <w:p>
      <w:pPr>
        <w:spacing w:before="80" w:after="80"/>
      </w:pPr>
    </w:p>
    <w:p>
      <w:pPr>
        <w:jc w:val="right"/>
      </w:pPr>
      <w:r>
        <w:rPr>
          <w:rFonts w:ascii="Arial" w:cs="Arial" w:eastAsia="Arial" w:hAnsi="Arial"/>
          <w:i/>
          <w:iCs/>
          <w:color w:val="666666"/>
          <w:sz w:val="20"/>
          <w:szCs w:val="20"/>
        </w:rPr>
        <w:t xml:space="preserve">Fait à Lyon, le 31 mars 2026</w:t>
      </w:r>
    </w:p>
    <w:p>
      <w:pPr>
        <w:jc w:val="right"/>
      </w:pPr>
      <w:r>
        <w:rPr>
          <w:rFonts w:ascii="Arial" w:cs="Arial" w:eastAsia="Arial" w:hAnsi="Arial"/>
          <w:i/>
          <w:iCs/>
          <w:color w:val="666666"/>
          <w:sz w:val="20"/>
          <w:szCs w:val="20"/>
        </w:rPr>
        <w:t xml:space="preserve">Manon MATRAT — Agent immobilier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6B962" w:sz="1" w:space="4"/>
      </w:pBdr>
      <w:jc w:val="right"/>
    </w:pPr>
    <w:r>
      <w:rPr>
        <w:rFonts w:ascii="Arial" w:cs="Arial" w:eastAsia="Arial" w:hAnsi="Arial"/>
        <w:b/>
        <w:bCs/>
        <w:color w:val="46B962"/>
        <w:sz w:val="18"/>
        <w:szCs w:val="18"/>
      </w:rPr>
      <w:t xml:space="preserve">ideeri</w:t>
    </w:r>
    <w:r>
      <w:rPr>
        <w:rFonts w:ascii="Arial" w:cs="Arial" w:eastAsia="Arial" w:hAnsi="Arial"/>
        <w:color w:val="AAAAAA"/>
        <w:sz w:val="16"/>
        <w:szCs w:val="16"/>
      </w:rPr>
      <w:t xml:space="preserve">  |  Compte rendu d'estimation  |  12 rue des Lilas, 69003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D4545"/>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2026-03-31T12:46:28.432Z</dcterms:created>
  <dcterms:modified xsi:type="dcterms:W3CDTF">2026-03-31T12:46:28.433Z</dcterms:modified>
</cp:coreProperties>
</file>

<file path=docProps/custom.xml><?xml version="1.0" encoding="utf-8"?>
<Properties xmlns="http://schemas.openxmlformats.org/officeDocument/2006/custom-properties" xmlns:vt="http://schemas.openxmlformats.org/officeDocument/2006/docPropsVTypes"/>
</file>