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60"/>
      </w:pPr>
      <w:r>
        <w:rPr>
          <w:rFonts w:ascii="Arial" w:cs="Arial" w:eastAsia="Arial" w:hAnsi="Arial"/>
          <w:b/>
          <w:bCs/>
          <w:color w:val="1F4E79"/>
          <w:sz w:val="56"/>
          <w:szCs w:val="56"/>
        </w:rPr>
        <w:t xml:space="preserve">Données Intrinsèques du Bien</w:t>
      </w:r>
    </w:p>
    <w:p>
      <w:pPr>
        <w:spacing w:before="0" w:after="60"/>
      </w:pPr>
      <w:r>
        <w:rPr>
          <w:rFonts w:ascii="Arial" w:cs="Arial" w:eastAsia="Arial" w:hAnsi="Arial"/>
          <w:color w:val="2E75B6"/>
          <w:sz w:val="32"/>
          <w:szCs w:val="32"/>
        </w:rPr>
        <w:t xml:space="preserve">Taxonomie Exhaustive pour l'Évaluation Immobilière Professionnelle</w:t>
      </w:r>
    </w:p>
    <w:p>
      <w:pPr>
        <w:pBdr>
          <w:bottom w:val="single" w:color="2E75B6" w:sz="8" w:space="6"/>
        </w:pBdr>
        <w:spacing w:before="0" w:after="300"/>
      </w:pPr>
      <w:r>
        <w:rPr>
          <w:rFonts w:ascii="Arial" w:cs="Arial" w:eastAsia="Arial" w:hAnsi="Arial"/>
          <w:i/>
          <w:iCs/>
          <w:color w:val="666666"/>
          <w:sz w:val="20"/>
          <w:szCs w:val="20"/>
        </w:rPr>
        <w:t xml:space="preserve">19 catégories  •  200+ points de données  •  Édition Février 2026</w:t>
      </w:r>
    </w:p>
    <w:p>
      <w:pPr>
        <w:spacing w:before="80" w:after="200"/>
      </w:pPr>
      <w:r>
        <w:rPr>
          <w:rFonts w:ascii="Arial" w:cs="Arial" w:eastAsia="Arial" w:hAnsi="Arial"/>
          <w:i/>
          <w:iCs/>
          <w:color w:val="4A4A4A"/>
          <w:sz w:val="19"/>
          <w:szCs w:val="19"/>
        </w:rPr>
        <w:t xml:space="preserve">Ce document recense l'ensemble des données à collecter sur un bien immobilier lors d'une évaluation terrain. Chaque donnée est documentée avec sa description précise, les options disponibles, les seuils de référence et la méthode d'évaluation recommandée. Structuré en 19 catégories, il couvre de l'identification juridique aux équipements technologiques durables.</w:t>
      </w:r>
    </w:p>
    <w:p>
      <w:pPr>
        <w:pStyle w:val="Heading1"/>
        <w:pBdr>
          <w:bottom w:val="single" w:color="2E75B6" w:sz="8" w:space="4"/>
        </w:pBdr>
        <w:spacing w:before="340" w:after="160"/>
      </w:pPr>
      <w:r>
        <w:rPr>
          <w:rFonts w:ascii="Arial" w:cs="Arial" w:eastAsia="Arial" w:hAnsi="Arial"/>
          <w:b/>
          <w:bCs/>
          <w:color w:val="1F4E79"/>
          <w:sz w:val="34"/>
          <w:szCs w:val="34"/>
        </w:rPr>
        <w:t xml:space="preserve">1. Identification et Statut Juridique</w:t>
      </w:r>
    </w:p>
    <w:p>
      <w:pPr>
        <w:spacing w:before="60" w:after="120"/>
      </w:pPr>
      <w:r>
        <w:rPr>
          <w:rFonts w:ascii="Arial" w:cs="Arial" w:eastAsia="Arial" w:hAnsi="Arial"/>
          <w:i/>
          <w:iCs/>
          <w:color w:val="4A4A4A"/>
          <w:sz w:val="19"/>
          <w:szCs w:val="19"/>
        </w:rPr>
        <w:t xml:space="preserve">Données de base permettant d'identifier le bien juridiquement et d'en connaître le statut légal, les servitudes et les contraintes.</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348"/>
      </w:tblGrid>
      <w:tr>
        <w:trPr>
          <w:tblHeader/>
        </w:trPr>
        <w:tc>
          <w:tcPr>
            <w:tcW w:type="dxa" w:w="28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0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Description</w:t>
            </w:r>
          </w:p>
        </w:tc>
        <w:tc>
          <w:tcPr>
            <w:tcW w:type="dxa" w:w="2348"/>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Source</w:t>
            </w:r>
          </w:p>
        </w:tc>
      </w:tr>
      <w:tr>
        <w:tc>
          <w:tcPr>
            <w:tcW w:type="dxa" w:w="28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Adresse complète</w:t>
            </w:r>
          </w:p>
        </w:tc>
        <w:tc>
          <w:tcPr>
            <w:tcW w:type="dxa" w:w="3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Numéro, rue, CP, ville, bâtiment, étage, numéro de porte</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2E75B6"/>
                <w:sz w:val="18"/>
                <w:szCs w:val="18"/>
              </w:rPr>
              <w:t xml:space="preserve">Acte de propriété</w:t>
            </w:r>
          </w:p>
        </w:tc>
      </w:tr>
      <w:tr>
        <w:tc>
          <w:tcPr>
            <w:tcW w:type="dxa" w:w="28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Référence cadastrale</w:t>
            </w:r>
          </w:p>
        </w:tc>
        <w:tc>
          <w:tcPr>
            <w:tcW w:type="dxa" w:w="30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Département / Commune / Préfixe / Section / Numéro de parcelle</w:t>
            </w:r>
          </w:p>
        </w:tc>
        <w:tc>
          <w:tcPr>
            <w:tcW w:type="dxa" w:w="23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2E75B6"/>
                <w:sz w:val="18"/>
                <w:szCs w:val="18"/>
              </w:rPr>
              <w:t xml:space="preserve">Cadastre.gouv.fr</w:t>
            </w:r>
          </w:p>
        </w:tc>
      </w:tr>
      <w:tr>
        <w:tc>
          <w:tcPr>
            <w:tcW w:type="dxa" w:w="28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Type de bien</w:t>
            </w:r>
          </w:p>
        </w:tc>
        <w:tc>
          <w:tcPr>
            <w:tcW w:type="dxa" w:w="3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Appartement, maison individuelle, villa, studio, duplex, loft, terrain, local commercial…</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2E75B6"/>
                <w:sz w:val="18"/>
                <w:szCs w:val="18"/>
              </w:rPr>
              <w:t xml:space="preserve">Titre de propriété</w:t>
            </w:r>
          </w:p>
        </w:tc>
      </w:tr>
      <w:tr>
        <w:tc>
          <w:tcPr>
            <w:tcW w:type="dxa" w:w="28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Régime de propriété</w:t>
            </w:r>
          </w:p>
        </w:tc>
        <w:tc>
          <w:tcPr>
            <w:tcW w:type="dxa" w:w="30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Pleine propriété / Copropriété / Indivision / SCI / Bail emphytéotique</w:t>
            </w:r>
          </w:p>
        </w:tc>
        <w:tc>
          <w:tcPr>
            <w:tcW w:type="dxa" w:w="23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2E75B6"/>
                <w:sz w:val="18"/>
                <w:szCs w:val="18"/>
              </w:rPr>
              <w:t xml:space="preserve">Titre de propriété</w:t>
            </w:r>
          </w:p>
        </w:tc>
      </w:tr>
      <w:tr>
        <w:tc>
          <w:tcPr>
            <w:tcW w:type="dxa" w:w="28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Numéro de lot (copropriété)</w:t>
            </w:r>
          </w:p>
        </w:tc>
        <w:tc>
          <w:tcPr>
            <w:tcW w:type="dxa" w:w="3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Numéro(s) de lot(s) dans le règlement de copropriété</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2E75B6"/>
                <w:sz w:val="18"/>
                <w:szCs w:val="18"/>
              </w:rPr>
              <w:t xml:space="preserve">Règlement de copropriété</w:t>
            </w:r>
          </w:p>
        </w:tc>
      </w:tr>
      <w:tr>
        <w:tc>
          <w:tcPr>
            <w:tcW w:type="dxa" w:w="28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Quote-part copropriété</w:t>
            </w:r>
          </w:p>
        </w:tc>
        <w:tc>
          <w:tcPr>
            <w:tcW w:type="dxa" w:w="30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Tantièmes et millièmes attribués au lot</w:t>
            </w:r>
          </w:p>
        </w:tc>
        <w:tc>
          <w:tcPr>
            <w:tcW w:type="dxa" w:w="23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2E75B6"/>
                <w:sz w:val="18"/>
                <w:szCs w:val="18"/>
              </w:rPr>
              <w:t xml:space="preserve">État daté</w:t>
            </w:r>
          </w:p>
        </w:tc>
      </w:tr>
      <w:tr>
        <w:tc>
          <w:tcPr>
            <w:tcW w:type="dxa" w:w="28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Servitudes</w:t>
            </w:r>
          </w:p>
        </w:tc>
        <w:tc>
          <w:tcPr>
            <w:tcW w:type="dxa" w:w="3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Servitude de passage, de vue, d'écoulement, mitoyenneté — nature et emprise</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2E75B6"/>
                <w:sz w:val="18"/>
                <w:szCs w:val="18"/>
              </w:rPr>
              <w:t xml:space="preserve">Acte de propriété</w:t>
            </w:r>
          </w:p>
        </w:tc>
      </w:tr>
      <w:tr>
        <w:tc>
          <w:tcPr>
            <w:tcW w:type="dxa" w:w="28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Hypothèques et sûretés</w:t>
            </w:r>
          </w:p>
        </w:tc>
        <w:tc>
          <w:tcPr>
            <w:tcW w:type="dxa" w:w="30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Prêts en cours, hypothèques légales, privilèges de prêteurs de deniers</w:t>
            </w:r>
          </w:p>
        </w:tc>
        <w:tc>
          <w:tcPr>
            <w:tcW w:type="dxa" w:w="23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2E75B6"/>
                <w:sz w:val="18"/>
                <w:szCs w:val="18"/>
              </w:rPr>
              <w:t xml:space="preserve">Publicité foncière</w:t>
            </w:r>
          </w:p>
        </w:tc>
      </w:tr>
      <w:tr>
        <w:tc>
          <w:tcPr>
            <w:tcW w:type="dxa" w:w="28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Bail en cours</w:t>
            </w:r>
          </w:p>
        </w:tc>
        <w:tc>
          <w:tcPr>
            <w:tcW w:type="dxa" w:w="3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Location nue, meublée, bail commercial, bail dérogatoire — durée et loyer</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2E75B6"/>
                <w:sz w:val="18"/>
                <w:szCs w:val="18"/>
              </w:rPr>
              <w:t xml:space="preserve">Contrat de location</w:t>
            </w:r>
          </w:p>
        </w:tc>
      </w:tr>
      <w:tr>
        <w:tc>
          <w:tcPr>
            <w:tcW w:type="dxa" w:w="28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Droits de préemption</w:t>
            </w:r>
          </w:p>
        </w:tc>
        <w:tc>
          <w:tcPr>
            <w:tcW w:type="dxa" w:w="30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Droit de préemption urbain (DPU), droit de préemption du locataire (Loi Aurillac)</w:t>
            </w:r>
          </w:p>
        </w:tc>
        <w:tc>
          <w:tcPr>
            <w:tcW w:type="dxa" w:w="23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2E75B6"/>
                <w:sz w:val="18"/>
                <w:szCs w:val="18"/>
              </w:rPr>
              <w:t xml:space="preserve">Mairie / Notaire</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2. Caractéristiques Générales</w:t>
      </w:r>
    </w:p>
    <w:p>
      <w:pPr>
        <w:spacing w:before="60" w:after="120"/>
      </w:pPr>
      <w:r>
        <w:rPr>
          <w:rFonts w:ascii="Arial" w:cs="Arial" w:eastAsia="Arial" w:hAnsi="Arial"/>
          <w:i/>
          <w:iCs/>
          <w:color w:val="4A4A4A"/>
          <w:sz w:val="19"/>
          <w:szCs w:val="19"/>
        </w:rPr>
        <w:t xml:space="preserve">Surfaces, pièces, annexes et espaces extérieurs — mesures officielles et observations terrain. Base de calcul du prix au m².</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148"/>
      </w:tblGrid>
      <w:tr>
        <w:trPr>
          <w:tblHeader/>
        </w:trPr>
        <w:tc>
          <w:tcPr>
            <w:tcW w:type="dxa" w:w="26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4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Description / Options</w:t>
            </w:r>
          </w:p>
        </w:tc>
        <w:tc>
          <w:tcPr>
            <w:tcW w:type="dxa" w:w="2148"/>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Mesure / Observation</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Surface habitable (loi Carrez)</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m² loi Carrez — pièces avec hauteur &gt;1,80 m — utilisé pour la vente en copropriété</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Diagnostic métrage Carrez</w:t>
            </w:r>
          </w:p>
        </w:tc>
      </w:tr>
      <w:tr>
        <w:tc>
          <w:tcPr>
            <w:tcW w:type="dxa" w:w="26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Surface totale du bien</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m² incluant caves, garages, combles non aménagés</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Mesurage complet</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Surface Plancher (SP)</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Pour déclaration préalable et permis de construire</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Calcul réglementaire</w:t>
            </w:r>
          </w:p>
        </w:tc>
      </w:tr>
      <w:tr>
        <w:tc>
          <w:tcPr>
            <w:tcW w:type="dxa" w:w="26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SHAB — Surface Habitable Boutin</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Loi Boutin pour baux de location — exclut murs, marches, gaines</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Diagnostic ou mesurage</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Nombre de pièces principales</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Séjour + chambres &gt;9 m² avec fenêtre</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Comptage sur plan</w:t>
            </w:r>
          </w:p>
        </w:tc>
      </w:tr>
      <w:tr>
        <w:tc>
          <w:tcPr>
            <w:tcW w:type="dxa" w:w="26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Nombre de chambres</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Pièces ≥9 m² avec fenêtre en façade</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Nombre de salles de bain / douche</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Avec baignoire et/ou douche, vasque — WC intégré ou non</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Nombre de WC</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WC indépendants et non indépendants — total</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Étage du bien</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RdC / 1er / 2ème… — avec ou sans ascenseur</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Pour appartement</w:t>
            </w:r>
          </w:p>
        </w:tc>
      </w:tr>
      <w:tr>
        <w:tc>
          <w:tcPr>
            <w:tcW w:type="dxa" w:w="26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Nombre d'étages total immeuble</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Total niveaux du bâtiment incluant RdC</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Orientation principale</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Façade principale : Nord / Sud / Est / Ouest / Sud-Est…</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Boussole sur site</w:t>
            </w:r>
          </w:p>
        </w:tc>
      </w:tr>
      <w:tr>
        <w:tc>
          <w:tcPr>
            <w:tcW w:type="dxa" w:w="26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Présence ascenseur</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Oui / Non — âge, marque, dernier entretien réglementaire</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Carnet entretien syndic</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Cave</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Surface (m²), hauteur sous plafond, humidité, fermeture sécurisée</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Grenier / combles</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Aménagés ou non — Surface et hauteur sous faîtage — potentiel d'aménagement</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Garage / Box fermé</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Surface m², motorisé ou non, accès direct au logement</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Parking extérieur</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Nombre de places, couvert ou non, emplacement commun ou privatif</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Terrasse</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Surface m², matériaux (carrelage, bois, béton), état, orientation, vue</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Balcon</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Surface m², filant ou non, type garde-corps, résistance</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Loggia</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Surface m², type de garde-corps, intégrée dans façade</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Jardin privatif</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Surface m², clôturé (type), exposé (orientation), plat ou pentu</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Cour</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Surface m², mitoyenne ou commune, accès véhicule</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Piscine</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Enterrée / Semi-enterrée / Hors sol — surface (m²), état, filtration, sécurité</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r>
        <w:tc>
          <w:tcPr>
            <w:tcW w:type="dxa" w:w="2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Dépendances</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Cellier, buanderie, atelier, hangar — surface m² et état par local</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Visite terrain</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3. Structure et Gros Œuvre</w:t>
      </w:r>
    </w:p>
    <w:p>
      <w:pPr>
        <w:spacing w:before="60" w:after="120"/>
      </w:pPr>
      <w:r>
        <w:rPr>
          <w:rFonts w:ascii="Arial" w:cs="Arial" w:eastAsia="Arial" w:hAnsi="Arial"/>
          <w:i/>
          <w:iCs/>
          <w:color w:val="4A4A4A"/>
          <w:sz w:val="19"/>
          <w:szCs w:val="19"/>
        </w:rPr>
        <w:t xml:space="preserve">Année de construction, matériaux de structure, état de la toiture, façades, charpente et diagnostics obligatoires liés au bâti.</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348"/>
      </w:tblGrid>
      <w:tr>
        <w:trPr>
          <w:tblHeader/>
        </w:trPr>
        <w:tc>
          <w:tcPr>
            <w:tcW w:type="dxa" w:w="24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4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Description / Options</w:t>
            </w:r>
          </w:p>
        </w:tc>
        <w:tc>
          <w:tcPr>
            <w:tcW w:type="dxa" w:w="2348"/>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Source / Diagnostic</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Année de construction</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Date du permis de construire ou d'achèvement déclaré</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Cadastre, acte notarié</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Époque de construction</w:t>
            </w:r>
          </w:p>
        </w:tc>
        <w:tc>
          <w:tcPr>
            <w:tcW w:type="dxa" w:w="3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Avant 1850 / 1850-1948 / 1948-1975 / 1975-2000 / Post-2000 — détermine les réglementations thermiques applicables</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Estimation ou acte</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Type de structure porteuse</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Maçonnerie pierre / Brique pleine / Parpaing / Béton armé / Ossature bois / Acier / Mixte</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expert structure</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Fondations — Type</w:t>
            </w:r>
          </w:p>
        </w:tc>
        <w:tc>
          <w:tcPr>
            <w:tcW w:type="dxa" w:w="3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Superficielles (semelles isolées/filantes) / Profondes (pieux, micropieux)</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Expert structure</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Fondations — État</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Stable / Tassement différentiel / Fissures actives / Sous-dimensionné</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Expert structure</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Toiture — Type</w:t>
            </w:r>
          </w:p>
        </w:tc>
        <w:tc>
          <w:tcPr>
            <w:tcW w:type="dxa" w:w="3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Toit en pente / Toit terrasse / Toit plat / Shed / Mansardé</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terrain</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Toiture — Matériaux de couverture</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Tuile terre cuite / Ardoise naturelle / Ardoise fibrociment / Zinc / Bac acier / Shingle / Membrane EPDM</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terrain</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Toiture — Âge estimé</w:t>
            </w:r>
          </w:p>
        </w:tc>
        <w:tc>
          <w:tcPr>
            <w:tcW w:type="dxa" w:w="3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Nombre d'années — détermine durée de vie restante (tuile : 50-100 ans, zinc : 80 ans, shingle : 25 ans)</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Factures, observation</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Toiture — État général</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Neuf (0-5 ans) / Bon état (5-20 ans) / À surveiller / À refaire</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expert ou couvreur</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Toiture — Étanchéité</w:t>
            </w:r>
          </w:p>
        </w:tc>
        <w:tc>
          <w:tcPr>
            <w:tcW w:type="dxa" w:w="3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Aucune infiltration / Infiltrations ponctuelles / Infiltrations actives — traces sur plafonds</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Traces intérieures</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Charpente — Type</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Traditionnelle (chevrons, pannes, arbalétriers) / Industrielle (fermettes) / Béton</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combles</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Charpente — État</w:t>
            </w:r>
          </w:p>
        </w:tc>
        <w:tc>
          <w:tcPr>
            <w:tcW w:type="dxa" w:w="3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Saine / Attaquée insectes / Attaquée champignons / Poutres fissurées / Consolidée</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Expert charpentier</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Façades — Matériaux</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Enduit / Pierre de taille / Brique / Bardage bois / Bardage composite / Béton brut</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Observation</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Façades — État</w:t>
            </w:r>
          </w:p>
        </w:tc>
        <w:tc>
          <w:tcPr>
            <w:tcW w:type="dxa" w:w="3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Neuf / Bon état / Fissuré / Décollé / À ravaler</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Observation</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Ravalement — Dernier</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Date et type : crépi, peinture, résine, Isolation Thermique par l'Extérieur (ITE)</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Syndic, factures</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ITE (Isolation Thermique Extérieure)</w:t>
            </w:r>
          </w:p>
        </w:tc>
        <w:tc>
          <w:tcPr>
            <w:tcW w:type="dxa" w:w="3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type (PSE, laine de roche, fibre bois), épaisseur cm, marque poseur</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Observation / factures</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Fissures en façade</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Capillaires (&lt;1mm, esthétiques) / Structurelles (&gt;2mm, en escalier, en escalier sur brique) — expertise si structurelles</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Expert structure</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Amiante — DTA</w:t>
            </w:r>
          </w:p>
        </w:tc>
        <w:tc>
          <w:tcPr>
            <w:tcW w:type="dxa" w:w="3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Dossier Technique Amiante — obligatoire si PC avant 1/7/1997 — liste des matériaux amiantés</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Diagnostic amiante</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Amiante — DAPP</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Diagnostic Amiante Parties Privatives — obligatoire à la vente si avant 1997</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Diagnostiqueur certifié</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Plomb — CREP</w:t>
            </w:r>
          </w:p>
        </w:tc>
        <w:tc>
          <w:tcPr>
            <w:tcW w:type="dxa" w:w="3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Constat de Risque d'Exposition au Plomb — obligatoire si avant 1949 — concentration en µg/cm²</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Diagnostiqueur certifié</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Diagnostic termites</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Zone à risque définie par arrêté préfectoral + présence ou absence de termites</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Diagnostiqueur certifié</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Mérule</w:t>
            </w:r>
          </w:p>
        </w:tc>
        <w:tc>
          <w:tcPr>
            <w:tcW w:type="dxa" w:w="3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Champignon lignivore — zones humides — destruction rapide de la structure bois</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Expertise bois si suspicion</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4. Revêtements Muraux Intérieurs</w:t>
      </w:r>
    </w:p>
    <w:p>
      <w:pPr>
        <w:spacing w:before="60" w:after="120"/>
      </w:pPr>
      <w:r>
        <w:rPr>
          <w:rFonts w:ascii="Arial" w:cs="Arial" w:eastAsia="Arial" w:hAnsi="Arial"/>
          <w:i/>
          <w:iCs/>
          <w:color w:val="4A4A4A"/>
          <w:sz w:val="19"/>
          <w:szCs w:val="19"/>
        </w:rPr>
        <w:t xml:space="preserve">Pour chaque pièce principale : type de revêtement, état, pathologies (humidité, moisissures, salpêtre) et qualité des finitions.</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2148"/>
      </w:tblGrid>
      <w:tr>
        <w:trPr>
          <w:tblHeader/>
        </w:trPr>
        <w:tc>
          <w:tcPr>
            <w:tcW w:type="dxa" w:w="23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7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Options / Détail</w:t>
            </w:r>
          </w:p>
        </w:tc>
        <w:tc>
          <w:tcPr>
            <w:tcW w:type="dxa" w:w="2148"/>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Évaluation</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Type de revêtement (par pièce)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Peinture / Papier peint / Enduit à la chaux / Enduit décoratif / Carrelage / Lambris bois / Pierre apparente / Boiseries / Tissu tendu / Béton ciré</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 visuelle</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État général</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Neuf (0-3 ans) / Bon état (3-10 ans) / À rafraîchir (10-20 ans) / À refaire (&gt;20 ans ou dégradé)</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 visuelle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Traces d'humidité</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Absence / Légères (auréoles anciennes) / Importantes (auréoles actives, décollements)</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Humidimètre + observation</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Moisissures</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Absence / Ponctuelles (coins, joints) / Étendues (&gt;50cm²)</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 + labo si doute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Salpêtre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Absence / Présent (dépôt blanc efflorescent) — murs en contact avec le sol ou terrain</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Décollements / Boursouflures</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Absence / Présents localement / Généralisés — sous papier peint ou enduit</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Qualité des finitions</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Aplombs corrects, arêtes nettes / Défauts visibles / Travail amateur</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Hauteur sous plafond (par pièce)</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En cm — &gt;2,70m = généreux ; &lt;2,50m = bas — mesuré au mètre laser</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Mètre laser</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Moulures / Corniches / Rosaces</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style (classique, Art déco, moderne), état (intact / fissuré / absent)</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Peinture plafond</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Type (mat, satin, velours), état, traces d'infiltration, fissures</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5. Revêtements de Sols</w:t>
      </w:r>
    </w:p>
    <w:p>
      <w:pPr>
        <w:spacing w:before="60" w:after="120"/>
      </w:pPr>
      <w:r>
        <w:rPr>
          <w:rFonts w:ascii="Arial" w:cs="Arial" w:eastAsia="Arial" w:hAnsi="Arial"/>
          <w:i/>
          <w:iCs/>
          <w:color w:val="4A4A4A"/>
          <w:sz w:val="19"/>
          <w:szCs w:val="19"/>
        </w:rPr>
        <w:t xml:space="preserve">Pour chaque pièce : type, matériau, qualité des lames, état, planéité et cohérence esthétique de l'ensemble.</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2148"/>
      </w:tblGrid>
      <w:tr>
        <w:trPr>
          <w:tblHeader/>
        </w:trPr>
        <w:tc>
          <w:tcPr>
            <w:tcW w:type="dxa" w:w="23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7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Options / Détail</w:t>
            </w:r>
          </w:p>
        </w:tc>
        <w:tc>
          <w:tcPr>
            <w:tcW w:type="dxa" w:w="2148"/>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Méthode d'évaluation</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Type de revêtement (par pièce)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Parquet massif / Parquet contrecollé / Parquet flottant / Carrelage grès cérame / Carrelage céramique / Marbre / Pierre naturelle / Béton ciré / Résine époxy / Moquette / Vinyle LVT / Lino / Stratifié</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Essence du bois (si parquet)</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Chêne, hêtre, pin, noyer, teck, wengé, bambou — détermine noblesse et durabilité</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 / certificat</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Largeur des lames (si parquet)</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En cm — &lt;6cm : classique / 6-10cm : standard / &gt;10cm : larges lames (plus noble)</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Mesure directe</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État du revêtement</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Neuf / Bon état / Rayé (parquet à poncer) / Abîmé / À remplacer totalement</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Solidité / Craquements</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Stable / Craquements ponctuels / Craquements généralisés / Plancher instable</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Test au pied (marche lente)</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Sous-couche acoustique</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Présente / Absente — type (mousse, liège, fibre) — améliore isolation chocs</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Documents fournisseur</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Plancher chauffant intégré</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Électrique / Hydraulique / Absent — vérifier compatibilité avec revêtement posé dessus</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Factures d'installation</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Niveau et planéité</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Plan / Dénivelés visibles (&lt;5mm/2m : acceptable) / Affaissements locaux</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Règle de 2m / niveau laser</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Carreaux cassés ou manquants</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Absence / Quelques-uns (&lt;5%) / Nombreux (&gt;10%) — disponibilité du même carrelage</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Cohérence esthétique</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Revêtements harmonieux dans le bien / Hétérogènes (patchwork de matériaux) — impact sur perception valeur</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 globale</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6. Menuiseries et Fenêtres</w:t>
      </w:r>
    </w:p>
    <w:p>
      <w:pPr>
        <w:spacing w:before="60" w:after="120"/>
      </w:pPr>
      <w:r>
        <w:rPr>
          <w:rFonts w:ascii="Arial" w:cs="Arial" w:eastAsia="Arial" w:hAnsi="Arial"/>
          <w:i/>
          <w:iCs/>
          <w:color w:val="4A4A4A"/>
          <w:sz w:val="19"/>
          <w:szCs w:val="19"/>
        </w:rPr>
        <w:t xml:space="preserve">Type de vitrage, performance thermique (Uw), matériaux, étanchéité à l'air et à l'eau, volets et certifications.</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348"/>
      </w:tblGrid>
      <w:tr>
        <w:trPr>
          <w:tblHeader/>
        </w:trPr>
        <w:tc>
          <w:tcPr>
            <w:tcW w:type="dxa" w:w="2400"/>
            <w:tcBorders>
              <w:top w:val="single" w:color="C0C0C0" w:sz="1"/>
              <w:left w:val="single" w:color="C0C0C0" w:sz="1"/>
              <w:bottom w:val="single" w:color="C0C0C0" w:sz="1"/>
              <w:right w:val="single" w:color="C0C0C0" w:sz="1"/>
            </w:tcBorders>
            <w:shd w:fill="CA6F1E"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400"/>
            <w:tcBorders>
              <w:top w:val="single" w:color="C0C0C0" w:sz="1"/>
              <w:left w:val="single" w:color="C0C0C0" w:sz="1"/>
              <w:bottom w:val="single" w:color="C0C0C0" w:sz="1"/>
              <w:right w:val="single" w:color="C0C0C0" w:sz="1"/>
            </w:tcBorders>
            <w:shd w:fill="CA6F1E" w:val="clear"/>
            <w:tcMar>
              <w:top w:type="dxa" w:w="70"/>
              <w:left w:type="dxa" w:w="110"/>
              <w:bottom w:type="dxa" w:w="70"/>
              <w:right w:type="dxa" w:w="110"/>
            </w:tcMar>
            <w:vAlign w:val="center"/>
          </w:tcPr>
          <w:p>
            <w:r>
              <w:rPr>
                <w:rFonts w:ascii="Arial" w:cs="Arial" w:eastAsia="Arial" w:hAnsi="Arial"/>
                <w:b/>
                <w:bCs/>
                <w:color w:val="FFFFFF"/>
                <w:sz w:val="18"/>
                <w:szCs w:val="18"/>
              </w:rPr>
              <w:t xml:space="preserve">Options / Valeurs</w:t>
            </w:r>
          </w:p>
        </w:tc>
        <w:tc>
          <w:tcPr>
            <w:tcW w:type="dxa" w:w="2348"/>
            <w:tcBorders>
              <w:top w:val="single" w:color="C0C0C0" w:sz="1"/>
              <w:left w:val="single" w:color="C0C0C0" w:sz="1"/>
              <w:bottom w:val="single" w:color="C0C0C0" w:sz="1"/>
              <w:right w:val="single" w:color="C0C0C0" w:sz="1"/>
            </w:tcBorders>
            <w:shd w:fill="CA6F1E" w:val="clear"/>
            <w:tcMar>
              <w:top w:type="dxa" w:w="70"/>
              <w:left w:type="dxa" w:w="110"/>
              <w:bottom w:type="dxa" w:w="70"/>
              <w:right w:type="dxa" w:w="110"/>
            </w:tcMar>
            <w:vAlign w:val="center"/>
          </w:tcPr>
          <w:p>
            <w:r>
              <w:rPr>
                <w:rFonts w:ascii="Arial" w:cs="Arial" w:eastAsia="Arial" w:hAnsi="Arial"/>
                <w:b/>
                <w:bCs/>
                <w:color w:val="FFFFFF"/>
                <w:sz w:val="18"/>
                <w:szCs w:val="18"/>
              </w:rPr>
              <w:t xml:space="preserve">Impact / Seuil</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Type de vitrage</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Simple vitrage / DV classique (4/12/4) / DV performant (4/16/4, 4/20/4 avec gaz argon) / Triple vitrage (Uw ≤0,8 W/m²K)</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Fort impact DPE et confort acoustique</w:t>
            </w:r>
          </w:p>
        </w:tc>
      </w:tr>
      <w:tr>
        <w:tc>
          <w:tcPr>
            <w:tcW w:type="dxa" w:w="2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Valeur Uw (menuiserie)</w:t>
            </w:r>
          </w:p>
        </w:tc>
        <w:tc>
          <w:tcPr>
            <w:tcW w:type="dxa" w:w="3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Coefficient thermique en W/m²K — mesure la perte de chaleur globale</w:t>
            </w:r>
          </w:p>
        </w:tc>
        <w:tc>
          <w:tcPr>
            <w:tcW w:type="dxa" w:w="23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≤1,4 = bon ; ≤0,8 = excellent</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Valeur Uw vitrage seul</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Coefficient du vitrage seul (Uglass)</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≤1,0 = performant</w:t>
            </w:r>
          </w:p>
        </w:tc>
      </w:tr>
      <w:tr>
        <w:tc>
          <w:tcPr>
            <w:tcW w:type="dxa" w:w="2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Matériau des menuiseries</w:t>
            </w:r>
          </w:p>
        </w:tc>
        <w:tc>
          <w:tcPr>
            <w:tcW w:type="dxa" w:w="3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Bois / PVC / Aluminium standard / Aluminium à rupture de pont thermique (RPT) / Mixte bois-alu</w:t>
            </w:r>
          </w:p>
        </w:tc>
        <w:tc>
          <w:tcPr>
            <w:tcW w:type="dxa" w:w="23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Alu RPT = meilleure isolation</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État des menuiseries</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Neuf / Bon état / Joints défaillants / Déformés / Pourris (bois) / Décollement (PVC)</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Observation + test ouverture</w:t>
            </w:r>
          </w:p>
        </w:tc>
      </w:tr>
      <w:tr>
        <w:tc>
          <w:tcPr>
            <w:tcW w:type="dxa" w:w="2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Étanchéité à l'air</w:t>
            </w:r>
          </w:p>
        </w:tc>
        <w:tc>
          <w:tcPr>
            <w:tcW w:type="dxa" w:w="3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Bonne (pas de courant d'air) / Courants d'air perceptibles / Mauvaise — impact DPE</w:t>
            </w:r>
          </w:p>
        </w:tc>
        <w:tc>
          <w:tcPr>
            <w:tcW w:type="dxa" w:w="23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Test papier cigarette ou fumée</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Étanchéité à l'eau</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Aucune infiltration / Infiltrations lors de pluie (joints défaillants)</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Observation après pluie</w:t>
            </w:r>
          </w:p>
        </w:tc>
      </w:tr>
      <w:tr>
        <w:tc>
          <w:tcPr>
            <w:tcW w:type="dxa" w:w="2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Volets / Persiennes</w:t>
            </w:r>
          </w:p>
        </w:tc>
        <w:tc>
          <w:tcPr>
            <w:tcW w:type="dxa" w:w="3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Absents / Bois (massif, ajouré) / PVC / Aluminium / Roulants manuels / Roulants électriques (motorisés)</w:t>
            </w:r>
          </w:p>
        </w:tc>
        <w:tc>
          <w:tcPr>
            <w:tcW w:type="dxa" w:w="23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Confort thermique et sécurité</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État des volets</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Neuf / Bon état / Lames cassées / Mécanisme bloqué / Hors service</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Observation + test</w:t>
            </w:r>
          </w:p>
        </w:tc>
      </w:tr>
      <w:tr>
        <w:tc>
          <w:tcPr>
            <w:tcW w:type="dxa" w:w="2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Stores intérieurs / extérieurs</w:t>
            </w:r>
          </w:p>
        </w:tc>
        <w:tc>
          <w:tcPr>
            <w:tcW w:type="dxa" w:w="3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Stores occultants / Stores vénitiens / Stores bannes — type et état</w:t>
            </w:r>
          </w:p>
        </w:tc>
        <w:tc>
          <w:tcPr>
            <w:tcW w:type="dxa" w:w="23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Confort thermique été</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Surface vitrée par pièce (m²)</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Total de baies vitrées par pièce — rapport surface vitrée/sol (&gt;15% = bien éclairé)</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Mètre laser</w:t>
            </w:r>
          </w:p>
        </w:tc>
      </w:tr>
      <w:tr>
        <w:tc>
          <w:tcPr>
            <w:tcW w:type="dxa" w:w="2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Baie vitrée coulissante</w:t>
            </w:r>
          </w:p>
        </w:tc>
        <w:tc>
          <w:tcPr>
            <w:tcW w:type="dxa" w:w="3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taille (m²), marque, performance thermique</w:t>
            </w:r>
          </w:p>
        </w:tc>
        <w:tc>
          <w:tcPr>
            <w:tcW w:type="dxa" w:w="23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Observation</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Fenêtres de toit (Velux)</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dimensions, état, type (standard, tout confort), âge</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Combles aménageables</w:t>
            </w:r>
          </w:p>
        </w:tc>
      </w:tr>
      <w:tr>
        <w:tc>
          <w:tcPr>
            <w:tcW w:type="dxa" w:w="2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Certification ACOTHERM</w:t>
            </w:r>
          </w:p>
        </w:tc>
        <w:tc>
          <w:tcPr>
            <w:tcW w:type="dxa" w:w="3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Classe acoustique (Ac1 à Ac4) + classe thermique (Th+) — certification NF</w:t>
            </w:r>
          </w:p>
        </w:tc>
        <w:tc>
          <w:tcPr>
            <w:tcW w:type="dxa" w:w="23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Confort bruit extérieur</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7. Portes et Accès</w:t>
      </w:r>
    </w:p>
    <w:p>
      <w:pPr>
        <w:spacing w:before="60" w:after="120"/>
      </w:pPr>
      <w:r>
        <w:rPr>
          <w:rFonts w:ascii="Arial" w:cs="Arial" w:eastAsia="Arial" w:hAnsi="Arial"/>
          <w:i/>
          <w:iCs/>
          <w:color w:val="4A4A4A"/>
          <w:sz w:val="19"/>
          <w:szCs w:val="19"/>
        </w:rPr>
        <w:t xml:space="preserve">Porte d'entrée (blindage, certification A2P), contrôle d'accès, interphone, portail, porte de garage et portes intérieures.</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2448"/>
      </w:tblGrid>
      <w:tr>
        <w:trPr>
          <w:tblHeader/>
        </w:trPr>
        <w:tc>
          <w:tcPr>
            <w:tcW w:type="dxa" w:w="23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4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Description / Options</w:t>
            </w:r>
          </w:p>
        </w:tc>
        <w:tc>
          <w:tcPr>
            <w:tcW w:type="dxa" w:w="2448"/>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Évaluation / Impact</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Porte d'entrée — Type</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Standard / Blindée / Porte palière de sécurité (résistance enfoncement)</w:t>
            </w:r>
          </w:p>
        </w:tc>
        <w:tc>
          <w:tcPr>
            <w:tcW w:type="dxa" w:w="2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Sécurité et assurance</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Porte d'entrée — Certification A2P</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1 étoile (5 min) / 2 étoiles (10 min) / 3 étoiles (15 min) de résistance à l'effraction</w:t>
            </w:r>
          </w:p>
        </w:tc>
        <w:tc>
          <w:tcPr>
            <w:tcW w:type="dxa" w:w="24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Réduction prime assurance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Porte d'entrée — Points de fermeture</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Monopoint / Multipoints 3 points / Multipoints 5 points (standard haute sécurité)</w:t>
            </w:r>
          </w:p>
        </w:tc>
        <w:tc>
          <w:tcPr>
            <w:tcW w:type="dxa" w:w="2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Sécurité passive</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Interphone / Visiophone</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Absent / Interphone audio simple / Visiophone écran / Connecté (smartphone, enregistrement)</w:t>
            </w:r>
          </w:p>
        </w:tc>
        <w:tc>
          <w:tcPr>
            <w:tcW w:type="dxa" w:w="24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Confort et sécurité</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Contrôle d'accès immeuble</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Clé mécanique / Digicode / Badge électronique / Biométrie / Application mobile</w:t>
            </w:r>
          </w:p>
        </w:tc>
        <w:tc>
          <w:tcPr>
            <w:tcW w:type="dxa" w:w="2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Sécurité et modernité</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Porte de garage</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Manuelle / Motorisée (télécommande) / Sectionnelle / Basculante / Coulissante</w:t>
            </w:r>
          </w:p>
        </w:tc>
        <w:tc>
          <w:tcPr>
            <w:tcW w:type="dxa" w:w="24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Commodité quotidienne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Portail</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Manuel / Motorisé (télécommande) / Interphone intégré / Ouverture automatique</w:t>
            </w:r>
          </w:p>
        </w:tc>
        <w:tc>
          <w:tcPr>
            <w:tcW w:type="dxa" w:w="2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Commodité quotidienne</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Portes intérieures</w:t>
            </w:r>
          </w:p>
        </w:tc>
        <w:tc>
          <w:tcPr>
            <w:tcW w:type="dxa" w:w="3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Matière (bois massif, bois creux, MDF, vitré) — état (bon/abîmé) — poignées (finition)</w:t>
            </w:r>
          </w:p>
        </w:tc>
        <w:tc>
          <w:tcPr>
            <w:tcW w:type="dxa" w:w="24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Finition et isolation</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8. Installations Électriques</w:t>
      </w:r>
    </w:p>
    <w:p>
      <w:pPr>
        <w:spacing w:before="60" w:after="120"/>
      </w:pPr>
      <w:r>
        <w:rPr>
          <w:rFonts w:ascii="Arial" w:cs="Arial" w:eastAsia="Arial" w:hAnsi="Arial"/>
          <w:i/>
          <w:iCs/>
          <w:color w:val="4A4A4A"/>
          <w:sz w:val="19"/>
          <w:szCs w:val="19"/>
        </w:rPr>
        <w:t xml:space="preserve">Tableau électrique, conformité NF C 15-100, câblage, prises, puissance souscrite, alarme et domotique.</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1700"/>
        <w:gridCol w:w="1448"/>
      </w:tblGrid>
      <w:tr>
        <w:trPr>
          <w:tblHeader/>
        </w:trPr>
        <w:tc>
          <w:tcPr>
            <w:tcW w:type="dxa" w:w="23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27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Description</w:t>
            </w:r>
          </w:p>
        </w:tc>
        <w:tc>
          <w:tcPr>
            <w:tcW w:type="dxa" w:w="17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Standard / Seuil</w:t>
            </w:r>
          </w:p>
        </w:tc>
        <w:tc>
          <w:tcPr>
            <w:tcW w:type="dxa" w:w="1448"/>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Source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Tableau électrique — Âge</w:t>
            </w:r>
          </w:p>
        </w:tc>
        <w:tc>
          <w:tcPr>
            <w:tcW w:type="dxa" w:w="2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En années depuis installation ou dernière mise à niveau</w:t>
            </w:r>
          </w:p>
        </w:tc>
        <w:tc>
          <w:tcPr>
            <w:tcW w:type="dxa" w:w="1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17A65"/>
                <w:sz w:val="16"/>
                <w:szCs w:val="16"/>
              </w:rPr>
              <w:t xml:space="preserve">&lt;15 ans = récent</w:t>
            </w:r>
          </w:p>
        </w:tc>
        <w:tc>
          <w:tcPr>
            <w:tcW w:type="dxa" w:w="1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6"/>
                <w:szCs w:val="16"/>
              </w:rPr>
              <w:t xml:space="preserve">Observation</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Tableau — Type de protection</w:t>
            </w:r>
          </w:p>
        </w:tc>
        <w:tc>
          <w:tcPr>
            <w:tcW w:type="dxa" w:w="2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Fusibles à cartouche (ancien) / Disjoncteurs différentiels (norme actuelle)</w:t>
            </w:r>
          </w:p>
        </w:tc>
        <w:tc>
          <w:tcPr>
            <w:tcW w:type="dxa" w:w="1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17A65"/>
                <w:sz w:val="16"/>
                <w:szCs w:val="16"/>
              </w:rPr>
              <w:t xml:space="preserve">Disjoncteurs = norme</w:t>
            </w:r>
          </w:p>
        </w:tc>
        <w:tc>
          <w:tcPr>
            <w:tcW w:type="dxa" w:w="14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4A4A4A"/>
                <w:sz w:val="16"/>
                <w:szCs w:val="16"/>
              </w:rPr>
              <w:t xml:space="preserve">Observation directe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Tableau — Intensité</w:t>
            </w:r>
          </w:p>
        </w:tc>
        <w:tc>
          <w:tcPr>
            <w:tcW w:type="dxa" w:w="2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Ampères : monophasé 30A / 60A ou triphasé (3×25A, 3×63A)</w:t>
            </w:r>
          </w:p>
        </w:tc>
        <w:tc>
          <w:tcPr>
            <w:tcW w:type="dxa" w:w="1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17A65"/>
                <w:sz w:val="16"/>
                <w:szCs w:val="16"/>
              </w:rPr>
              <w:t xml:space="preserve">&gt;30A = usage confortable</w:t>
            </w:r>
          </w:p>
        </w:tc>
        <w:tc>
          <w:tcPr>
            <w:tcW w:type="dxa" w:w="1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6"/>
                <w:szCs w:val="16"/>
              </w:rPr>
              <w:t xml:space="preserve">Étiquette tableau</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Conformité NF C 15-100</w:t>
            </w:r>
          </w:p>
        </w:tc>
        <w:tc>
          <w:tcPr>
            <w:tcW w:type="dxa" w:w="2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Norme électrique française — vérification câblage, mises à la terre, disjoncteurs différentiels 30mA</w:t>
            </w:r>
          </w:p>
        </w:tc>
        <w:tc>
          <w:tcPr>
            <w:tcW w:type="dxa" w:w="1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17A65"/>
                <w:sz w:val="16"/>
                <w:szCs w:val="16"/>
              </w:rPr>
              <w:t xml:space="preserve">Obligatoire à la vente</w:t>
            </w:r>
          </w:p>
        </w:tc>
        <w:tc>
          <w:tcPr>
            <w:tcW w:type="dxa" w:w="14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4A4A4A"/>
                <w:sz w:val="16"/>
                <w:szCs w:val="16"/>
              </w:rPr>
              <w:t xml:space="preserve">Diagnostiqueur certifié</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Diagnostic électricité</w:t>
            </w:r>
          </w:p>
        </w:tc>
        <w:tc>
          <w:tcPr>
            <w:tcW w:type="dxa" w:w="2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Résultats détaillés : points conformes / non-conformes / dangereux</w:t>
            </w:r>
          </w:p>
        </w:tc>
        <w:tc>
          <w:tcPr>
            <w:tcW w:type="dxa" w:w="1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17A65"/>
                <w:sz w:val="16"/>
                <w:szCs w:val="16"/>
              </w:rPr>
              <w:t xml:space="preserve">Toute anomalie = travaux</w:t>
            </w:r>
          </w:p>
        </w:tc>
        <w:tc>
          <w:tcPr>
            <w:tcW w:type="dxa" w:w="1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6"/>
                <w:szCs w:val="16"/>
              </w:rPr>
              <w:t xml:space="preserve">Diagnostiqueur COPREC</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Type de câblage</w:t>
            </w:r>
          </w:p>
        </w:tc>
        <w:tc>
          <w:tcPr>
            <w:tcW w:type="dxa" w:w="2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Souple (moderne) / Rigide (ancien) / Gainé / Apparent — présence de mise à la terre partout</w:t>
            </w:r>
          </w:p>
        </w:tc>
        <w:tc>
          <w:tcPr>
            <w:tcW w:type="dxa" w:w="1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17A65"/>
                <w:sz w:val="16"/>
                <w:szCs w:val="16"/>
              </w:rPr>
              <w:t xml:space="preserve">Mise à la terre obligatoire</w:t>
            </w:r>
          </w:p>
        </w:tc>
        <w:tc>
          <w:tcPr>
            <w:tcW w:type="dxa" w:w="14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4A4A4A"/>
                <w:sz w:val="16"/>
                <w:szCs w:val="16"/>
              </w:rPr>
              <w:t xml:space="preserve">Observation</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Prises de courant (par pièce)</w:t>
            </w:r>
          </w:p>
        </w:tc>
        <w:tc>
          <w:tcPr>
            <w:tcW w:type="dxa" w:w="2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Nombre, avec terre (3 trous), type (standard, USB intégré, encastré, saillie)</w:t>
            </w:r>
          </w:p>
        </w:tc>
        <w:tc>
          <w:tcPr>
            <w:tcW w:type="dxa" w:w="1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17A65"/>
                <w:sz w:val="16"/>
                <w:szCs w:val="16"/>
              </w:rPr>
              <w:t xml:space="preserve">≥5 prises/pièce principale</w:t>
            </w:r>
          </w:p>
        </w:tc>
        <w:tc>
          <w:tcPr>
            <w:tcW w:type="dxa" w:w="1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6"/>
                <w:szCs w:val="16"/>
              </w:rPr>
              <w:t xml:space="preserve">Comptage terrain</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Prises RJ45 réseau</w:t>
            </w:r>
          </w:p>
        </w:tc>
        <w:tc>
          <w:tcPr>
            <w:tcW w:type="dxa" w:w="2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dans pièces principales et bureau — câblage Ethernet Cat5e ou Cat6</w:t>
            </w:r>
          </w:p>
        </w:tc>
        <w:tc>
          <w:tcPr>
            <w:tcW w:type="dxa" w:w="1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17A65"/>
                <w:sz w:val="16"/>
                <w:szCs w:val="16"/>
              </w:rPr>
              <w:t xml:space="preserve">Fibre/Ethernet = +</w:t>
            </w:r>
          </w:p>
        </w:tc>
        <w:tc>
          <w:tcPr>
            <w:tcW w:type="dxa" w:w="14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4A4A4A"/>
                <w:sz w:val="16"/>
                <w:szCs w:val="16"/>
              </w:rPr>
              <w:t xml:space="preserve">Observation</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Tableau de communication VDI</w:t>
            </w:r>
          </w:p>
        </w:tc>
        <w:tc>
          <w:tcPr>
            <w:tcW w:type="dxa" w:w="2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Tableau Voix-Données-Images centralisé — brassage des prises internet, TV, téléphone</w:t>
            </w:r>
          </w:p>
        </w:tc>
        <w:tc>
          <w:tcPr>
            <w:tcW w:type="dxa" w:w="1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17A65"/>
                <w:sz w:val="16"/>
                <w:szCs w:val="16"/>
              </w:rPr>
              <w:t xml:space="preserve">Moderne et pratique</w:t>
            </w:r>
          </w:p>
        </w:tc>
        <w:tc>
          <w:tcPr>
            <w:tcW w:type="dxa" w:w="1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6"/>
                <w:szCs w:val="16"/>
              </w:rPr>
              <w:t xml:space="preserve">Observation</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Éclairage intégré</w:t>
            </w:r>
          </w:p>
        </w:tc>
        <w:tc>
          <w:tcPr>
            <w:tcW w:type="dxa" w:w="2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Spots encastrés / Suspensions / Rails LED / Gradateurs — état et modernité des installations</w:t>
            </w:r>
          </w:p>
        </w:tc>
        <w:tc>
          <w:tcPr>
            <w:tcW w:type="dxa" w:w="1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17A65"/>
                <w:sz w:val="16"/>
                <w:szCs w:val="16"/>
              </w:rPr>
              <w:t xml:space="preserve">LED = économique</w:t>
            </w:r>
          </w:p>
        </w:tc>
        <w:tc>
          <w:tcPr>
            <w:tcW w:type="dxa" w:w="14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4A4A4A"/>
                <w:sz w:val="16"/>
                <w:szCs w:val="16"/>
              </w:rPr>
              <w:t xml:space="preserve">Observation</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Puissance souscrite EDF</w:t>
            </w:r>
          </w:p>
        </w:tc>
        <w:tc>
          <w:tcPr>
            <w:tcW w:type="dxa" w:w="2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kVA : 3 / 6 / 9 / 12 / 18 / 24 / 36 kVA — impact mensualités et confort usage</w:t>
            </w:r>
          </w:p>
        </w:tc>
        <w:tc>
          <w:tcPr>
            <w:tcW w:type="dxa" w:w="1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17A65"/>
                <w:sz w:val="16"/>
                <w:szCs w:val="16"/>
              </w:rPr>
              <w:t xml:space="preserve">9-12 kVA pour maison</w:t>
            </w:r>
          </w:p>
        </w:tc>
        <w:tc>
          <w:tcPr>
            <w:tcW w:type="dxa" w:w="1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6"/>
                <w:szCs w:val="16"/>
              </w:rPr>
              <w:t xml:space="preserve">Facture EDF</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Alarme intrusion</w:t>
            </w:r>
          </w:p>
        </w:tc>
        <w:tc>
          <w:tcPr>
            <w:tcW w:type="dxa" w:w="2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Type (filaire, sans fil), marque, état, contrat télésurveillance actif (Securitas, Verisure…)</w:t>
            </w:r>
          </w:p>
        </w:tc>
        <w:tc>
          <w:tcPr>
            <w:tcW w:type="dxa" w:w="1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17A65"/>
                <w:sz w:val="16"/>
                <w:szCs w:val="16"/>
              </w:rPr>
              <w:t xml:space="preserve">Sécurité et assurance</w:t>
            </w:r>
          </w:p>
        </w:tc>
        <w:tc>
          <w:tcPr>
            <w:tcW w:type="dxa" w:w="14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4A4A4A"/>
                <w:sz w:val="16"/>
                <w:szCs w:val="16"/>
              </w:rPr>
              <w:t xml:space="preserve">Observation + contrat</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Compteur individuel Linky</w:t>
            </w:r>
          </w:p>
        </w:tc>
        <w:tc>
          <w:tcPr>
            <w:tcW w:type="dxa" w:w="2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et localisation — permet suivi conso en temps réel</w:t>
            </w:r>
          </w:p>
        </w:tc>
        <w:tc>
          <w:tcPr>
            <w:tcW w:type="dxa" w:w="1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17A65"/>
                <w:sz w:val="16"/>
                <w:szCs w:val="16"/>
              </w:rPr>
              <w:t xml:space="preserve">Obligatoire &gt;2018</w:t>
            </w:r>
          </w:p>
        </w:tc>
        <w:tc>
          <w:tcPr>
            <w:tcW w:type="dxa" w:w="1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6"/>
                <w:szCs w:val="16"/>
              </w:rPr>
              <w:t xml:space="preserve">Observation</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Domotique — Protocole</w:t>
            </w:r>
          </w:p>
        </w:tc>
        <w:tc>
          <w:tcPr>
            <w:tcW w:type="dxa" w:w="2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KNX (filaire pro) / Zigbee / Z-Wave / Matter / Propriétaire (Legrand, Schneider) — niveau d'intégration</w:t>
            </w:r>
          </w:p>
        </w:tc>
        <w:tc>
          <w:tcPr>
            <w:tcW w:type="dxa" w:w="1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17A65"/>
                <w:sz w:val="16"/>
                <w:szCs w:val="16"/>
              </w:rPr>
              <w:t xml:space="preserve">KNX = plus haut de gamme</w:t>
            </w:r>
          </w:p>
        </w:tc>
        <w:tc>
          <w:tcPr>
            <w:tcW w:type="dxa" w:w="14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4A4A4A"/>
                <w:sz w:val="16"/>
                <w:szCs w:val="16"/>
              </w:rPr>
              <w:t xml:space="preserve">Observation + doc</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9. Installations de Plomberie</w:t>
      </w:r>
    </w:p>
    <w:p>
      <w:pPr>
        <w:spacing w:before="60" w:after="120"/>
      </w:pPr>
      <w:r>
        <w:rPr>
          <w:rFonts w:ascii="Arial" w:cs="Arial" w:eastAsia="Arial" w:hAnsi="Arial"/>
          <w:i/>
          <w:iCs/>
          <w:color w:val="4A4A4A"/>
          <w:sz w:val="19"/>
          <w:szCs w:val="19"/>
        </w:rPr>
        <w:t xml:space="preserve">Matériaux des canalisations, chauffe-eau, pression, robinetterie, évacuations et équipements de traitement d'eau.</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948"/>
      </w:tblGrid>
      <w:tr>
        <w:trPr>
          <w:tblHeader/>
        </w:trPr>
        <w:tc>
          <w:tcPr>
            <w:tcW w:type="dxa" w:w="24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8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Description / Options</w:t>
            </w:r>
          </w:p>
        </w:tc>
        <w:tc>
          <w:tcPr>
            <w:tcW w:type="dxa" w:w="1948"/>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Évaluation</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Matériaux des canalisations</w:t>
            </w:r>
          </w:p>
        </w:tc>
        <w:tc>
          <w:tcPr>
            <w:tcW w:type="dxa" w:w="38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Cuivre (durable) / PER polyéthylène réticulé (flexible, moderne) / PVC (évacuations) / Galvanisé (ancien, corrosif) / Plomb (à remplacer impérativement !)</w:t>
            </w:r>
          </w:p>
        </w:tc>
        <w:tc>
          <w:tcPr>
            <w:tcW w:type="dxa" w:w="19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Plomb = danger sanitaire urgent</w:t>
            </w:r>
          </w:p>
        </w:tc>
      </w:tr>
      <w:tr>
        <w:tc>
          <w:tcPr>
            <w:tcW w:type="dxa" w:w="2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Âge des canalisations</w:t>
            </w:r>
          </w:p>
        </w:tc>
        <w:tc>
          <w:tcPr>
            <w:tcW w:type="dxa" w:w="38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En années — estimation selon matériaux et époque construction</w:t>
            </w:r>
          </w:p>
        </w:tc>
        <w:tc>
          <w:tcPr>
            <w:tcW w:type="dxa" w:w="19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&gt;30 ans = risque de fuite accru</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Pression de l'eau</w:t>
            </w:r>
          </w:p>
        </w:tc>
        <w:tc>
          <w:tcPr>
            <w:tcW w:type="dxa" w:w="38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Mesure en bar au robinet — dynamique (en cours d'utilisation) et statique</w:t>
            </w:r>
          </w:p>
        </w:tc>
        <w:tc>
          <w:tcPr>
            <w:tcW w:type="dxa" w:w="19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2-4 bar = normale ; &lt;1 bar = insuffisant</w:t>
            </w:r>
          </w:p>
        </w:tc>
      </w:tr>
      <w:tr>
        <w:tc>
          <w:tcPr>
            <w:tcW w:type="dxa" w:w="2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Chauffe-eau — Type</w:t>
            </w:r>
          </w:p>
        </w:tc>
        <w:tc>
          <w:tcPr>
            <w:tcW w:type="dxa" w:w="38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Électrique à accumulation / Gaz instantané / Gaz à accumulation / Thermodynamique PAC-ECS / Solaire thermique / Ballon accumulateur collectif</w:t>
            </w:r>
          </w:p>
        </w:tc>
        <w:tc>
          <w:tcPr>
            <w:tcW w:type="dxa" w:w="19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Thermodynamique = le plus économique</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Chauffe-eau — Capacité</w:t>
            </w:r>
          </w:p>
        </w:tc>
        <w:tc>
          <w:tcPr>
            <w:tcW w:type="dxa" w:w="38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En litres : 50L (1 pers.) / 100L (2 pers.) / 150L (2-3 pers.) / 200-300L (4+ pers.)</w:t>
            </w:r>
          </w:p>
        </w:tc>
        <w:tc>
          <w:tcPr>
            <w:tcW w:type="dxa" w:w="19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Adapter à composition famille</w:t>
            </w:r>
          </w:p>
        </w:tc>
      </w:tr>
      <w:tr>
        <w:tc>
          <w:tcPr>
            <w:tcW w:type="dxa" w:w="2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Chauffe-eau — Âge</w:t>
            </w:r>
          </w:p>
        </w:tc>
        <w:tc>
          <w:tcPr>
            <w:tcW w:type="dxa" w:w="38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En années — durée de vie moyenne : électrique 10-15 ans, gaz 15-20 ans</w:t>
            </w:r>
          </w:p>
        </w:tc>
        <w:tc>
          <w:tcPr>
            <w:tcW w:type="dxa" w:w="19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&lt;10 ans = bon ; &gt;15 ans = à prévoir</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Chauffe-eau — Entretien</w:t>
            </w:r>
          </w:p>
        </w:tc>
        <w:tc>
          <w:tcPr>
            <w:tcW w:type="dxa" w:w="38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Dernier détartrage, état de la résistance (électrique), état brûleur (gaz)</w:t>
            </w:r>
          </w:p>
        </w:tc>
        <w:tc>
          <w:tcPr>
            <w:tcW w:type="dxa" w:w="19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Annuel recommandé</w:t>
            </w:r>
          </w:p>
        </w:tc>
      </w:tr>
      <w:tr>
        <w:tc>
          <w:tcPr>
            <w:tcW w:type="dxa" w:w="2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Adoucisseur d'eau</w:t>
            </w:r>
          </w:p>
        </w:tc>
        <w:tc>
          <w:tcPr>
            <w:tcW w:type="dxa" w:w="38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marque, capacité, entretien, ajout de sel — zones eau dure (TH &gt;25°F)</w:t>
            </w:r>
          </w:p>
        </w:tc>
        <w:tc>
          <w:tcPr>
            <w:tcW w:type="dxa" w:w="19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Confort et durée de vie équipements</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Filtre à eau / Osmoseur</w:t>
            </w:r>
          </w:p>
        </w:tc>
        <w:tc>
          <w:tcPr>
            <w:tcW w:type="dxa" w:w="38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Type (filtre sédiments, charbon actif, osmose inverse, UV), état, entretien</w:t>
            </w:r>
          </w:p>
        </w:tc>
        <w:tc>
          <w:tcPr>
            <w:tcW w:type="dxa" w:w="19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Confort qualitatif</w:t>
            </w:r>
          </w:p>
        </w:tc>
      </w:tr>
      <w:tr>
        <w:tc>
          <w:tcPr>
            <w:tcW w:type="dxa" w:w="2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État des évacuations</w:t>
            </w:r>
          </w:p>
        </w:tc>
        <w:tc>
          <w:tcPr>
            <w:tcW w:type="dxa" w:w="38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PVC (récent) / Fonte (ancien, lourd) — étanchéité, absence de bouchons chroniques, pente suffisante</w:t>
            </w:r>
          </w:p>
        </w:tc>
        <w:tc>
          <w:tcPr>
            <w:tcW w:type="dxa" w:w="19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Observation + test écoulement</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Robinetterie cuisine et SDB</w:t>
            </w:r>
          </w:p>
        </w:tc>
        <w:tc>
          <w:tcPr>
            <w:tcW w:type="dxa" w:w="38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Marque (Hansgrohe, Grohe, Jacob Delafon...), type (mitigeur thermostatique = +), état, fuites</w:t>
            </w:r>
          </w:p>
        </w:tc>
        <w:tc>
          <w:tcPr>
            <w:tcW w:type="dxa" w:w="19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Mitigeur thermostatique = confort</w:t>
            </w:r>
          </w:p>
        </w:tc>
      </w:tr>
      <w:tr>
        <w:tc>
          <w:tcPr>
            <w:tcW w:type="dxa" w:w="24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Siphons de sol</w:t>
            </w:r>
          </w:p>
        </w:tc>
        <w:tc>
          <w:tcPr>
            <w:tcW w:type="dxa" w:w="38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en salle de bain, WC, cuisine, buanderie — état et propreté</w:t>
            </w:r>
          </w:p>
        </w:tc>
        <w:tc>
          <w:tcPr>
            <w:tcW w:type="dxa" w:w="19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Obligatoire en zone humide</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Surpresseur</w:t>
            </w:r>
          </w:p>
        </w:tc>
        <w:tc>
          <w:tcPr>
            <w:tcW w:type="dxa" w:w="38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si pression insuffisante — marque, état, bruit de fonctionnement</w:t>
            </w:r>
          </w:p>
        </w:tc>
        <w:tc>
          <w:tcPr>
            <w:tcW w:type="dxa" w:w="19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Utile en dernier étage</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10. Chauffage et Climatisation</w:t>
      </w:r>
    </w:p>
    <w:p>
      <w:pPr>
        <w:pStyle w:val="Heading2"/>
        <w:spacing w:before="260" w:after="120"/>
      </w:pPr>
      <w:r>
        <w:rPr>
          <w:rFonts w:ascii="Arial" w:cs="Arial" w:eastAsia="Arial" w:hAnsi="Arial"/>
          <w:b/>
          <w:bCs/>
          <w:color w:val="2E75B6"/>
          <w:sz w:val="26"/>
          <w:szCs w:val="26"/>
        </w:rPr>
        <w:t xml:space="preserve">10.1 Système de chauffage</w:t>
      </w:r>
    </w:p>
    <w:p>
      <w:pPr>
        <w:spacing w:before="60" w:after="120"/>
      </w:pPr>
      <w:r>
        <w:rPr>
          <w:rFonts w:ascii="Arial" w:cs="Arial" w:eastAsia="Arial" w:hAnsi="Arial"/>
          <w:i/>
          <w:iCs/>
          <w:color w:val="4A4A4A"/>
          <w:sz w:val="19"/>
          <w:szCs w:val="19"/>
        </w:rPr>
        <w:t xml:space="preserve">Type d'énergie, chaudière ou PAC, émetteurs, régulation et entretien.</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48"/>
      </w:tblGrid>
      <w:tr>
        <w:trPr>
          <w:tblHeader/>
        </w:trPr>
        <w:tc>
          <w:tcPr>
            <w:tcW w:type="dxa" w:w="2300"/>
            <w:tcBorders>
              <w:top w:val="single" w:color="C0C0C0" w:sz="1"/>
              <w:left w:val="single" w:color="C0C0C0" w:sz="1"/>
              <w:bottom w:val="single" w:color="C0C0C0" w:sz="1"/>
              <w:right w:val="single" w:color="C0C0C0" w:sz="1"/>
            </w:tcBorders>
            <w:shd w:fill="CA6F1E"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600"/>
            <w:tcBorders>
              <w:top w:val="single" w:color="C0C0C0" w:sz="1"/>
              <w:left w:val="single" w:color="C0C0C0" w:sz="1"/>
              <w:bottom w:val="single" w:color="C0C0C0" w:sz="1"/>
              <w:right w:val="single" w:color="C0C0C0" w:sz="1"/>
            </w:tcBorders>
            <w:shd w:fill="CA6F1E" w:val="clear"/>
            <w:tcMar>
              <w:top w:type="dxa" w:w="70"/>
              <w:left w:type="dxa" w:w="110"/>
              <w:bottom w:type="dxa" w:w="70"/>
              <w:right w:type="dxa" w:w="110"/>
            </w:tcMar>
            <w:vAlign w:val="center"/>
          </w:tcPr>
          <w:p>
            <w:r>
              <w:rPr>
                <w:rFonts w:ascii="Arial" w:cs="Arial" w:eastAsia="Arial" w:hAnsi="Arial"/>
                <w:b/>
                <w:bCs/>
                <w:color w:val="FFFFFF"/>
                <w:sz w:val="18"/>
                <w:szCs w:val="18"/>
              </w:rPr>
              <w:t xml:space="preserve">Options / Valeurs</w:t>
            </w:r>
          </w:p>
        </w:tc>
        <w:tc>
          <w:tcPr>
            <w:tcW w:type="dxa" w:w="2248"/>
            <w:tcBorders>
              <w:top w:val="single" w:color="C0C0C0" w:sz="1"/>
              <w:left w:val="single" w:color="C0C0C0" w:sz="1"/>
              <w:bottom w:val="single" w:color="C0C0C0" w:sz="1"/>
              <w:right w:val="single" w:color="C0C0C0" w:sz="1"/>
            </w:tcBorders>
            <w:shd w:fill="CA6F1E" w:val="clear"/>
            <w:tcMar>
              <w:top w:type="dxa" w:w="70"/>
              <w:left w:type="dxa" w:w="110"/>
              <w:bottom w:type="dxa" w:w="70"/>
              <w:right w:type="dxa" w:w="110"/>
            </w:tcMar>
            <w:vAlign w:val="center"/>
          </w:tcPr>
          <w:p>
            <w:r>
              <w:rPr>
                <w:rFonts w:ascii="Arial" w:cs="Arial" w:eastAsia="Arial" w:hAnsi="Arial"/>
                <w:b/>
                <w:bCs/>
                <w:color w:val="FFFFFF"/>
                <w:sz w:val="18"/>
                <w:szCs w:val="18"/>
              </w:rPr>
              <w:t xml:space="preserve">Seuil / Évaluation</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Type de chauffage</w:t>
            </w:r>
          </w:p>
        </w:tc>
        <w:tc>
          <w:tcPr>
            <w:tcW w:type="dxa" w:w="3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Collectif central / Individuel central (chaudière) / Électrique direct (convecteurs) / PAC air-eau / PAC géothermique / Poêle à bois / Insert cheminée / Plancher chauffant hydraulique / Plancher chauffant électrique</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PAC et plancher chauffant = idéal</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Énergie principale</w:t>
            </w:r>
          </w:p>
        </w:tc>
        <w:tc>
          <w:tcPr>
            <w:tcW w:type="dxa" w:w="36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Gaz naturel / Fioul / GPL / Électricité / Bois granulés (pellets) / Bois bûche / Géothermie / Solaire thermique / Réseau de chaleur urbain (RCU)</w:t>
            </w:r>
          </w:p>
        </w:tc>
        <w:tc>
          <w:tcPr>
            <w:tcW w:type="dxa" w:w="22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Gaz/RCU = moins coûteux en ville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Chaudière — Marque / Modèle</w:t>
            </w:r>
          </w:p>
        </w:tc>
        <w:tc>
          <w:tcPr>
            <w:tcW w:type="dxa" w:w="3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Marque (Viessmann, Bosch, De Dietrich, Vaillant, Saunier Duval...) et référence exacte</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Réputation marque = entretien</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Chaudière — Âge</w:t>
            </w:r>
          </w:p>
        </w:tc>
        <w:tc>
          <w:tcPr>
            <w:tcW w:type="dxa" w:w="36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En années depuis installation (étiquette constructeur ou facture)</w:t>
            </w:r>
          </w:p>
        </w:tc>
        <w:tc>
          <w:tcPr>
            <w:tcW w:type="dxa" w:w="22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&lt;10 ans = récent ; &gt;20 ans = à remplacer</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Chaudière — Type</w:t>
            </w:r>
          </w:p>
        </w:tc>
        <w:tc>
          <w:tcPr>
            <w:tcW w:type="dxa" w:w="3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Standard (&lt;80% rendement) / Basse température (85%) / Condensation (&gt;90%) / Micro-cogénération</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Condensation = standard recommandé</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Chaudière — Rendement saisonnier</w:t>
            </w:r>
          </w:p>
        </w:tc>
        <w:tc>
          <w:tcPr>
            <w:tcW w:type="dxa" w:w="36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 — mesurable via rapport entretien annuel</w:t>
            </w:r>
          </w:p>
        </w:tc>
        <w:tc>
          <w:tcPr>
            <w:tcW w:type="dxa" w:w="22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&gt;90% = très performante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Entretien annuel chaudière</w:t>
            </w:r>
          </w:p>
        </w:tc>
        <w:tc>
          <w:tcPr>
            <w:tcW w:type="dxa" w:w="3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Contrat d'entretien actif, dernier rapport, technicien agréé</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Obligatoire légalement</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PAC — Coefficient COP (hiver)</w:t>
            </w:r>
          </w:p>
        </w:tc>
        <w:tc>
          <w:tcPr>
            <w:tcW w:type="dxa" w:w="36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Ratio énergie produite / consommée en mode chauffage</w:t>
            </w:r>
          </w:p>
        </w:tc>
        <w:tc>
          <w:tcPr>
            <w:tcW w:type="dxa" w:w="22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COP &gt;3 = bon ; &gt;4 = excellent</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PAC — Coefficient SCOP (annuel)</w:t>
            </w:r>
          </w:p>
        </w:tc>
        <w:tc>
          <w:tcPr>
            <w:tcW w:type="dxa" w:w="3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Coefficient saisonnier plus représentatif de la performance réelle annuelle</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SCOP &gt;4 = excellent</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Type d'émetteurs</w:t>
            </w:r>
          </w:p>
        </w:tc>
        <w:tc>
          <w:tcPr>
            <w:tcW w:type="dxa" w:w="36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Radiateurs fonte (inertie) / Radiateurs acier / Radiateurs alu / Convecteurs électriques / Plancher chauffant / Ventilo-convecteurs / Plinthe chauffante</w:t>
            </w:r>
          </w:p>
        </w:tc>
        <w:tc>
          <w:tcPr>
            <w:tcW w:type="dxa" w:w="22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Plancher chauffant = confort max</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Régulation du chauffage</w:t>
            </w:r>
          </w:p>
        </w:tc>
        <w:tc>
          <w:tcPr>
            <w:tcW w:type="dxa" w:w="3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Thermostat simple / Thermostat programmable / Thermostat connecté (Nest, Ecobee, Netatmo) / Robinets thermostatiques sur chaque radiateur</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Connecté = 15-30% économies</w:t>
            </w:r>
          </w:p>
        </w:tc>
      </w:tr>
    </w:tbl>
    <w:p>
      <w:pPr>
        <w:spacing w:before="120" w:after="0"/>
      </w:pPr>
      <w:r>
        <w:t xml:space="preserve"/>
      </w:r>
    </w:p>
    <w:p>
      <w:pPr>
        <w:pStyle w:val="Heading2"/>
        <w:spacing w:before="260" w:after="120"/>
      </w:pPr>
      <w:r>
        <w:rPr>
          <w:rFonts w:ascii="Arial" w:cs="Arial" w:eastAsia="Arial" w:hAnsi="Arial"/>
          <w:b/>
          <w:bCs/>
          <w:color w:val="2E75B6"/>
          <w:sz w:val="26"/>
          <w:szCs w:val="26"/>
        </w:rPr>
        <w:t xml:space="preserve">10.2 Climatisation</w:t>
      </w:r>
    </w:p>
    <w:p>
      <w:pPr>
        <w:spacing w:before="60" w:after="120"/>
      </w:pPr>
      <w:r>
        <w:rPr>
          <w:rFonts w:ascii="Arial" w:cs="Arial" w:eastAsia="Arial" w:hAnsi="Arial"/>
          <w:i/>
          <w:iCs/>
          <w:color w:val="4A4A4A"/>
          <w:sz w:val="19"/>
          <w:szCs w:val="19"/>
        </w:rPr>
        <w:t xml:space="preserve">Type, puissance, coefficient SEER, âge et entretien des systèmes de refroidissement.</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48"/>
      </w:tblGrid>
      <w:tr>
        <w:trPr>
          <w:tblHeader/>
        </w:trPr>
        <w:tc>
          <w:tcPr>
            <w:tcW w:type="dxa" w:w="2300"/>
            <w:tcBorders>
              <w:top w:val="single" w:color="C0C0C0" w:sz="1"/>
              <w:left w:val="single" w:color="C0C0C0" w:sz="1"/>
              <w:bottom w:val="single" w:color="C0C0C0" w:sz="1"/>
              <w:right w:val="single" w:color="C0C0C0" w:sz="1"/>
            </w:tcBorders>
            <w:shd w:fill="CA6F1E"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 Climatisation</w:t>
            </w:r>
          </w:p>
        </w:tc>
        <w:tc>
          <w:tcPr>
            <w:tcW w:type="dxa" w:w="3600"/>
            <w:tcBorders>
              <w:top w:val="single" w:color="C0C0C0" w:sz="1"/>
              <w:left w:val="single" w:color="C0C0C0" w:sz="1"/>
              <w:bottom w:val="single" w:color="C0C0C0" w:sz="1"/>
              <w:right w:val="single" w:color="C0C0C0" w:sz="1"/>
            </w:tcBorders>
            <w:shd w:fill="CA6F1E" w:val="clear"/>
            <w:tcMar>
              <w:top w:type="dxa" w:w="70"/>
              <w:left w:type="dxa" w:w="110"/>
              <w:bottom w:type="dxa" w:w="70"/>
              <w:right w:type="dxa" w:w="110"/>
            </w:tcMar>
            <w:vAlign w:val="center"/>
          </w:tcPr>
          <w:p>
            <w:r>
              <w:rPr>
                <w:rFonts w:ascii="Arial" w:cs="Arial" w:eastAsia="Arial" w:hAnsi="Arial"/>
                <w:b/>
                <w:bCs/>
                <w:color w:val="FFFFFF"/>
                <w:sz w:val="18"/>
                <w:szCs w:val="18"/>
              </w:rPr>
              <w:t xml:space="preserve">Options / Valeurs</w:t>
            </w:r>
          </w:p>
        </w:tc>
        <w:tc>
          <w:tcPr>
            <w:tcW w:type="dxa" w:w="2248"/>
            <w:tcBorders>
              <w:top w:val="single" w:color="C0C0C0" w:sz="1"/>
              <w:left w:val="single" w:color="C0C0C0" w:sz="1"/>
              <w:bottom w:val="single" w:color="C0C0C0" w:sz="1"/>
              <w:right w:val="single" w:color="C0C0C0" w:sz="1"/>
            </w:tcBorders>
            <w:shd w:fill="CA6F1E" w:val="clear"/>
            <w:tcMar>
              <w:top w:type="dxa" w:w="70"/>
              <w:left w:type="dxa" w:w="110"/>
              <w:bottom w:type="dxa" w:w="70"/>
              <w:right w:type="dxa" w:w="110"/>
            </w:tcMar>
            <w:vAlign w:val="center"/>
          </w:tcPr>
          <w:p>
            <w:r>
              <w:rPr>
                <w:rFonts w:ascii="Arial" w:cs="Arial" w:eastAsia="Arial" w:hAnsi="Arial"/>
                <w:b/>
                <w:bCs/>
                <w:color w:val="FFFFFF"/>
                <w:sz w:val="18"/>
                <w:szCs w:val="18"/>
              </w:rPr>
              <w:t xml:space="preserve">Seuil / Évaluation</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Type de climatisation</w:t>
            </w:r>
          </w:p>
        </w:tc>
        <w:tc>
          <w:tcPr>
            <w:tcW w:type="dxa" w:w="3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Monobloc mobile / Split mural (mono-split) / Multi-split / Gainable centralisée / PAC air-air réversible (chauffage + clim)</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Multi-split = plus discret</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Nombre d'unités intérieures</w:t>
            </w:r>
          </w:p>
        </w:tc>
        <w:tc>
          <w:tcPr>
            <w:tcW w:type="dxa" w:w="36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Nombre de têtes de split dans le logement</w:t>
            </w:r>
          </w:p>
        </w:tc>
        <w:tc>
          <w:tcPr>
            <w:tcW w:type="dxa" w:w="22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1 par pièce principale = confort</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Puissance par unité (kW)</w:t>
            </w:r>
          </w:p>
        </w:tc>
        <w:tc>
          <w:tcPr>
            <w:tcW w:type="dxa" w:w="3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Puissance frigorifique de chaque unité intérieure</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Adapté à la surface de la pièce</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Marque / Modèle</w:t>
            </w:r>
          </w:p>
        </w:tc>
        <w:tc>
          <w:tcPr>
            <w:tcW w:type="dxa" w:w="36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Daikin, Mitsubishi, LG, Samsung, Hitachi, Panasonic — réputation fiabilité</w:t>
            </w:r>
          </w:p>
        </w:tc>
        <w:tc>
          <w:tcPr>
            <w:tcW w:type="dxa" w:w="22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Marque japonaise = fiabilité</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SEER — Coefficient efficacité saisonnier</w:t>
            </w:r>
          </w:p>
        </w:tc>
        <w:tc>
          <w:tcPr>
            <w:tcW w:type="dxa" w:w="3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Ratio énergie froide produite / consommée sur la saison estivale</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SEER &gt;6 = bon ; &gt;8 = excellent</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Âge et état général</w:t>
            </w:r>
          </w:p>
        </w:tc>
        <w:tc>
          <w:tcPr>
            <w:tcW w:type="dxa" w:w="36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En années depuis installation — fuites fréon possibles sur vieux équipements</w:t>
            </w:r>
          </w:p>
        </w:tc>
        <w:tc>
          <w:tcPr>
            <w:tcW w:type="dxa" w:w="22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&lt;10 ans = bon état</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Entretien et nettoyage filtres</w:t>
            </w:r>
          </w:p>
        </w:tc>
        <w:tc>
          <w:tcPr>
            <w:tcW w:type="dxa" w:w="36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Nettoyage filtres recommandé tous les mois en période d'utilisation — contrat d'entretien</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Négligé = pertes de 20% d'efficacité</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11. Ventilation et Qualité de l'Air Intérieur</w:t>
      </w:r>
    </w:p>
    <w:p>
      <w:pPr>
        <w:spacing w:before="60" w:after="120"/>
      </w:pPr>
      <w:r>
        <w:rPr>
          <w:rFonts w:ascii="Arial" w:cs="Arial" w:eastAsia="Arial" w:hAnsi="Arial"/>
          <w:i/>
          <w:iCs/>
          <w:color w:val="4A4A4A"/>
          <w:sz w:val="19"/>
          <w:szCs w:val="19"/>
        </w:rPr>
        <w:t xml:space="preserve">Type de VMC, débits, qualité de l'air (CO₂, HR, COV) et récupération de chaleur.</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2248"/>
      </w:tblGrid>
      <w:tr>
        <w:trPr>
          <w:tblHeader/>
        </w:trPr>
        <w:tc>
          <w:tcPr>
            <w:tcW w:type="dxa" w:w="24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5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Options / Mesures</w:t>
            </w:r>
          </w:p>
        </w:tc>
        <w:tc>
          <w:tcPr>
            <w:tcW w:type="dxa" w:w="2248"/>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Seuil / Évaluation</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Type de ventilation</w:t>
            </w:r>
          </w:p>
        </w:tc>
        <w:tc>
          <w:tcPr>
            <w:tcW w:type="dxa" w:w="3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Naturelle par ouvrants / VMC simple flux autoréglable / VMC simple flux hygroréglable A / VMC simple flux hygroréglable B / VMC double flux (VMC-DF) / VEP (ventilation par extraction ponctuelle)</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VMC-DF = meilleur confort et économies</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Débit d'extraction (m³/h)</w:t>
            </w:r>
          </w:p>
        </w:tc>
        <w:tc>
          <w:tcPr>
            <w:tcW w:type="dxa" w:w="3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Débit par pièce humide : WC : 15m³/h / SDB : 15m³/h / Cuisine : 45m³/h</w:t>
            </w:r>
          </w:p>
        </w:tc>
        <w:tc>
          <w:tcPr>
            <w:tcW w:type="dxa" w:w="22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Selon réglementation RT en vigueur</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État du réseau de gaines</w:t>
            </w:r>
          </w:p>
        </w:tc>
        <w:tc>
          <w:tcPr>
            <w:tcW w:type="dxa" w:w="3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Bouches propres / Obstruées / Réseau non visité / Condensation dans gaines</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Nettoyage annuel recommandé</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Entrées d'air</w:t>
            </w:r>
          </w:p>
        </w:tc>
        <w:tc>
          <w:tcPr>
            <w:tcW w:type="dxa" w:w="3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Présentes sur menuiseries (grilles autoréglables ou hygro) ou murs / Absentes</w:t>
            </w:r>
          </w:p>
        </w:tc>
        <w:tc>
          <w:tcPr>
            <w:tcW w:type="dxa" w:w="22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Absentes = fonctionnement VMC compromis</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Récupération de chaleur (VMC-DF)</w:t>
            </w:r>
          </w:p>
        </w:tc>
        <w:tc>
          <w:tcPr>
            <w:tcW w:type="dxa" w:w="3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 d'efficacité thermique — échangeur entre air entrant et sortant</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η &gt;80% = excellent (économies chauffage)</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CO₂ ambiant (QAI)</w:t>
            </w:r>
          </w:p>
        </w:tc>
        <w:tc>
          <w:tcPr>
            <w:tcW w:type="dxa" w:w="3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Concentration en CO₂ en ppm — indicateur de renouvellement d'air</w:t>
            </w:r>
          </w:p>
        </w:tc>
        <w:tc>
          <w:tcPr>
            <w:tcW w:type="dxa" w:w="22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&lt;800 ppm = bon ; &gt;1200 ppm = mauvais</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Taux d'humidité relative (HR)</w:t>
            </w:r>
          </w:p>
        </w:tc>
        <w:tc>
          <w:tcPr>
            <w:tcW w:type="dxa" w:w="3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 d'humidité relative dans les pièces principales</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40-60% = idéal ; &gt;70% = risque moisissures</w:t>
            </w:r>
          </w:p>
        </w:tc>
      </w:tr>
      <w:tr>
        <w:tc>
          <w:tcPr>
            <w:tcW w:type="dxa" w:w="24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COV (Composés Organiques Volatils)</w:t>
            </w:r>
          </w:p>
        </w:tc>
        <w:tc>
          <w:tcPr>
            <w:tcW w:type="dxa" w:w="3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µg/m³ — sources : peintures, colles, meubles, produits ménagers</w:t>
            </w:r>
          </w:p>
        </w:tc>
        <w:tc>
          <w:tcPr>
            <w:tcW w:type="dxa" w:w="22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&lt;300 µg/m³ = acceptable</w:t>
            </w:r>
          </w:p>
        </w:tc>
      </w:tr>
      <w:tr>
        <w:tc>
          <w:tcPr>
            <w:tcW w:type="dxa" w:w="2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Âge du caisson VMC</w:t>
            </w:r>
          </w:p>
        </w:tc>
        <w:tc>
          <w:tcPr>
            <w:tcW w:type="dxa" w:w="3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En années — moteur ventilateur</w:t>
            </w:r>
          </w:p>
        </w:tc>
        <w:tc>
          <w:tcPr>
            <w:tcW w:type="dxa" w:w="22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&lt;15 ans = bon ; &gt;20 ans = remplacement à prévoir</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12. Isolation Thermique et Performance Énergétique</w:t>
      </w:r>
    </w:p>
    <w:p>
      <w:pPr>
        <w:spacing w:before="60" w:after="120"/>
      </w:pPr>
      <w:r>
        <w:rPr>
          <w:rFonts w:ascii="Arial" w:cs="Arial" w:eastAsia="Arial" w:hAnsi="Arial"/>
          <w:i/>
          <w:iCs/>
          <w:color w:val="4A4A4A"/>
          <w:sz w:val="19"/>
          <w:szCs w:val="19"/>
        </w:rPr>
        <w:t xml:space="preserve">Isolation toiture, murs et planchers, DPE, audit énergétique et potentiel de rénovation.</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2148"/>
      </w:tblGrid>
      <w:tr>
        <w:trPr>
          <w:tblHeader/>
        </w:trPr>
        <w:tc>
          <w:tcPr>
            <w:tcW w:type="dxa" w:w="23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7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Description / Options</w:t>
            </w:r>
          </w:p>
        </w:tc>
        <w:tc>
          <w:tcPr>
            <w:tcW w:type="dxa" w:w="2148"/>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Seuil / Impact valeur</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Isolation toiture / combles — Type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Laine de verre / Laine de roche / Ouate de cellulose / Laine de bois / PSE / PIR / Sarking (pose sous couverture)</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Ouate et fibre bois = biosourcé valorisant</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Isolation toiture — Épaisseur</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En cm — mesurable ou estimé selon époque</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&gt;30cm = bon (R≥7 m²K/W)</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Isolation toiture — Mise en place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Soufflage en vrac / Rouleaux déroulés / Panneaux / Projeté</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Soufflage = couvre mieux les interstices</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Isolation toiture — État</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Intact / Tassé (perte efficacité) / Rongeurs / Absent totalement</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Tassé = perte de 20-40% d'efficacité</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Isolation murs — Type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Par l'intérieur (ITI) : doublage plaqué ou enduit / Par l'extérieur (ITE) / Remplissage de doublage / Aucune</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ITE = traitement ponts thermiques</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Isolation murs — Épaisseur</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En cm de matériau isolant posé</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&gt;10cm = bon (R≥3 m²K/W selon matériau)</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Ponts thermiques</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Présents et non traités / Traités / Absents — jonctions mur-plancher, mur-fenêtre</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Non traités = jusqu'à 20% des pertes</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Isolation plancher bas</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Présent sur vide-sanitaire ou cave / Absent — type et épaisseur</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Absent = 10-15% des pertes</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DPE — Étiquette énergie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A (≤70) / B (71-110) / C (111-180) / D (181-250) / E (251-330) / F (331-420) / G (&gt;420) kWh/m²/an</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F/G : gel des loyers, décote -5 à -20%</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DPE — Étiquette GES</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A à G — émissions de CO₂ en kg/m²/an — lié à l'énergie de chauffage</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Gaz/fioul = étiquette GES dégradée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DPE — Version</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Post-juillet 2021 (opposable juridiquement) / Ancien (non opposable)</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Ancien = refaire avant vente</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Audit énergétique</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Obligatoire pour biens DPE F et G à la vente — scénarios de rénovation par étape</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Avec estimatif travaux chiffré</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Consommation réelle annuelle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kWh/an réels relevés sur factures vs estimation DPE — écart à analyser</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Écart &gt;30% = DPE à vérifier</w:t>
            </w:r>
          </w:p>
        </w:tc>
      </w:tr>
      <w:tr>
        <w:tc>
          <w:tcPr>
            <w:tcW w:type="dxa" w:w="23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Potentiel de rénovation</w:t>
            </w:r>
          </w:p>
        </w:tc>
        <w:tc>
          <w:tcPr>
            <w:tcW w:type="dxa" w:w="37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Étiquette DPE atteignable après travaux prévus dans l'audit — gain réel de valeur</w:t>
            </w:r>
          </w:p>
        </w:tc>
        <w:tc>
          <w:tcPr>
            <w:tcW w:type="dxa" w:w="21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4A4A4A"/>
                <w:sz w:val="18"/>
                <w:szCs w:val="18"/>
              </w:rPr>
              <w:t xml:space="preserve">Passage F→C : +10 à +20% de valeur</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Aides disponibles (CEE / MaPrimeRénov)</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Montants indicatifs selon ménage, étiquette et type de travaux</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4A4A4A"/>
                <w:sz w:val="18"/>
                <w:szCs w:val="18"/>
              </w:rPr>
              <w:t xml:space="preserve">Argument de négociation puissant</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13. Isolation Acoustique</w:t>
      </w:r>
    </w:p>
    <w:p>
      <w:pPr>
        <w:spacing w:before="60" w:after="120"/>
      </w:pPr>
      <w:r>
        <w:rPr>
          <w:rFonts w:ascii="Arial" w:cs="Arial" w:eastAsia="Arial" w:hAnsi="Arial"/>
          <w:i/>
          <w:iCs/>
          <w:color w:val="4A4A4A"/>
          <w:sz w:val="19"/>
          <w:szCs w:val="19"/>
        </w:rPr>
        <w:t xml:space="preserve">Classement acoustique, isolement aux bruits aériens et aux bruits de choc, performances perçues sur site.</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148"/>
      </w:tblGrid>
      <w:tr>
        <w:trPr>
          <w:tblHeader/>
        </w:trPr>
        <w:tc>
          <w:tcPr>
            <w:tcW w:type="dxa" w:w="25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5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Description / Mesure</w:t>
            </w:r>
          </w:p>
        </w:tc>
        <w:tc>
          <w:tcPr>
            <w:tcW w:type="dxa" w:w="2148"/>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Seuil réglementaire</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Classement acoustique du bien</w:t>
            </w:r>
          </w:p>
        </w:tc>
        <w:tc>
          <w:tcPr>
            <w:tcW w:type="dxa" w:w="3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A (très performant, rare en ancien) / B (performant) / C (non classé, standard)</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A = argument commercial fort</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Isolement DnT,A (bruit aérien entre logements)</w:t>
            </w:r>
          </w:p>
        </w:tc>
        <w:tc>
          <w:tcPr>
            <w:tcW w:type="dxa" w:w="3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dB — isolement entre appartements adjacents, mesuré ou estimé</w:t>
            </w:r>
          </w:p>
        </w:tc>
        <w:tc>
          <w:tcPr>
            <w:tcW w:type="dxa" w:w="21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Neuf ≥53 dB (NRA 2000)</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Isolation bruit de choc L'nT,W</w:t>
            </w:r>
          </w:p>
        </w:tc>
        <w:tc>
          <w:tcPr>
            <w:tcW w:type="dxa" w:w="3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dB — bruits d'impacts (pas, chute d'objets) transmis entre étages</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Neuf ≤58 dB (NRA 2000)</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Isolement vis-à-vis extérieur (DJn+Ln)</w:t>
            </w:r>
          </w:p>
        </w:tc>
        <w:tc>
          <w:tcPr>
            <w:tcW w:type="dxa" w:w="3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dB — bruit de la rue, selon classement sonore de la voie et type de vitrage</w:t>
            </w:r>
          </w:p>
        </w:tc>
        <w:tc>
          <w:tcPr>
            <w:tcW w:type="dxa" w:w="21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Dépend arrêté préfectoral classe voie</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Performances perçues (enquête terrain)</w:t>
            </w:r>
          </w:p>
        </w:tc>
        <w:tc>
          <w:tcPr>
            <w:tcW w:type="dxa" w:w="3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Bruits voisins audibles / Discrets / Inaudibles — conversations perceptibles (forte gêne) / bruits de pas</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Enquête voisins, visite h. calme + h. pointe</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Matériaux de plancher (absorption choc)</w:t>
            </w:r>
          </w:p>
        </w:tc>
        <w:tc>
          <w:tcPr>
            <w:tcW w:type="dxa" w:w="3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Parquet flottant avec sous-couche / Moquette / Carrelage direct (transmission élevée)</w:t>
            </w:r>
          </w:p>
        </w:tc>
        <w:tc>
          <w:tcPr>
            <w:tcW w:type="dxa" w:w="21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Moquette = meilleur amortissement choc</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Épaisseur des cloisons intérieures</w:t>
            </w:r>
          </w:p>
        </w:tc>
        <w:tc>
          <w:tcPr>
            <w:tcW w:type="dxa" w:w="3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En cm — cloisons simples (&lt;7cm) vs double cloison (&gt;12cm) avec lame d'air</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Double cloison +10 dB d'isolation</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14. Humidité et Pathologies</w:t>
      </w:r>
    </w:p>
    <w:p>
      <w:pPr>
        <w:spacing w:before="60" w:after="120"/>
      </w:pPr>
      <w:r>
        <w:rPr>
          <w:rFonts w:ascii="Arial" w:cs="Arial" w:eastAsia="Arial" w:hAnsi="Arial"/>
          <w:i/>
          <w:iCs/>
          <w:color w:val="4A4A4A"/>
          <w:sz w:val="19"/>
          <w:szCs w:val="19"/>
        </w:rPr>
        <w:t xml:space="preserve">Taux d'humidité ambiant et dans les parois, condensation, moisissures, infiltrations et remontées capillaires.</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2448"/>
      </w:tblGrid>
      <w:tr>
        <w:trPr>
          <w:tblHeader/>
        </w:trPr>
        <w:tc>
          <w:tcPr>
            <w:tcW w:type="dxa" w:w="2300"/>
            <w:tcBorders>
              <w:top w:val="single" w:color="C0C0C0" w:sz="1"/>
              <w:left w:val="single" w:color="C0C0C0" w:sz="1"/>
              <w:bottom w:val="single" w:color="C0C0C0" w:sz="1"/>
              <w:right w:val="single" w:color="C0C0C0" w:sz="1"/>
            </w:tcBorders>
            <w:shd w:fill="CA6F1E"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400"/>
            <w:tcBorders>
              <w:top w:val="single" w:color="C0C0C0" w:sz="1"/>
              <w:left w:val="single" w:color="C0C0C0" w:sz="1"/>
              <w:bottom w:val="single" w:color="C0C0C0" w:sz="1"/>
              <w:right w:val="single" w:color="C0C0C0" w:sz="1"/>
            </w:tcBorders>
            <w:shd w:fill="CA6F1E" w:val="clear"/>
            <w:tcMar>
              <w:top w:type="dxa" w:w="70"/>
              <w:left w:type="dxa" w:w="110"/>
              <w:bottom w:type="dxa" w:w="70"/>
              <w:right w:type="dxa" w:w="110"/>
            </w:tcMar>
            <w:vAlign w:val="center"/>
          </w:tcPr>
          <w:p>
            <w:r>
              <w:rPr>
                <w:rFonts w:ascii="Arial" w:cs="Arial" w:eastAsia="Arial" w:hAnsi="Arial"/>
                <w:b/>
                <w:bCs/>
                <w:color w:val="FFFFFF"/>
                <w:sz w:val="18"/>
                <w:szCs w:val="18"/>
              </w:rPr>
              <w:t xml:space="preserve">Description</w:t>
            </w:r>
          </w:p>
        </w:tc>
        <w:tc>
          <w:tcPr>
            <w:tcW w:type="dxa" w:w="2448"/>
            <w:tcBorders>
              <w:top w:val="single" w:color="C0C0C0" w:sz="1"/>
              <w:left w:val="single" w:color="C0C0C0" w:sz="1"/>
              <w:bottom w:val="single" w:color="C0C0C0" w:sz="1"/>
              <w:right w:val="single" w:color="C0C0C0" w:sz="1"/>
            </w:tcBorders>
            <w:shd w:fill="CA6F1E" w:val="clear"/>
            <w:tcMar>
              <w:top w:type="dxa" w:w="70"/>
              <w:left w:type="dxa" w:w="110"/>
              <w:bottom w:type="dxa" w:w="70"/>
              <w:right w:type="dxa" w:w="110"/>
            </w:tcMar>
            <w:vAlign w:val="center"/>
          </w:tcPr>
          <w:p>
            <w:r>
              <w:rPr>
                <w:rFonts w:ascii="Arial" w:cs="Arial" w:eastAsia="Arial" w:hAnsi="Arial"/>
                <w:b/>
                <w:bCs/>
                <w:color w:val="FFFFFF"/>
                <w:sz w:val="18"/>
                <w:szCs w:val="18"/>
              </w:rPr>
              <w:t xml:space="preserve">Mesure / Outil</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Taux d'humidité relative ambiant</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 HR dans chaque pièce — mesure avec hygromètre électronique</w:t>
            </w:r>
          </w:p>
        </w:tc>
        <w:tc>
          <w:tcPr>
            <w:tcW w:type="dxa" w:w="2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40-60% = idéal ; &gt;70% = risque moisissures</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Taux d'humidité dans les parois</w:t>
            </w:r>
          </w:p>
        </w:tc>
        <w:tc>
          <w:tcPr>
            <w:tcW w:type="dxa" w:w="3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 d'humidité dans murs, planchers, cloisons — mesure par contact ou infra-rouge</w:t>
            </w:r>
          </w:p>
        </w:tc>
        <w:tc>
          <w:tcPr>
            <w:tcW w:type="dxa" w:w="24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Humidimètre à pointe ou scanner IR</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Condensation sur vitres</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de buée ou condensation sur vitres simple ou double vitrage défaillant</w:t>
            </w:r>
          </w:p>
        </w:tc>
        <w:tc>
          <w:tcPr>
            <w:tcW w:type="dxa" w:w="2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Observation en période froide</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Condensation sur ponts thermiques</w:t>
            </w:r>
          </w:p>
        </w:tc>
        <w:tc>
          <w:tcPr>
            <w:tcW w:type="dxa" w:w="3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Traces noires / moisissures dans les angles de pièces, derrière meubles</w:t>
            </w:r>
          </w:p>
        </w:tc>
        <w:tc>
          <w:tcPr>
            <w:tcW w:type="dxa" w:w="24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Observation visuelle hiver</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Moisissures — Localisation</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Angles plafond/mur, derrière mobilier, dessous fenêtres, salle de bain, cave</w:t>
            </w:r>
          </w:p>
        </w:tc>
        <w:tc>
          <w:tcPr>
            <w:tcW w:type="dxa" w:w="2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Observation + labo si doute (genre)</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Moisissures — Étendue</w:t>
            </w:r>
          </w:p>
        </w:tc>
        <w:tc>
          <w:tcPr>
            <w:tcW w:type="dxa" w:w="3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Ponctuelles (&lt;50cm²) / Moyennes (50cm²-1m²) / Étendues (&gt;1m²)</w:t>
            </w:r>
          </w:p>
        </w:tc>
        <w:tc>
          <w:tcPr>
            <w:tcW w:type="dxa" w:w="24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Mesure surface affectée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Traces d'infiltration</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Auréoles sur plafonds, murs en pignon, autour des baies, sous la toiture</w:t>
            </w:r>
          </w:p>
        </w:tc>
        <w:tc>
          <w:tcPr>
            <w:tcW w:type="dxa" w:w="2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Observation après pluie ou neige</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Remontées capillaires</w:t>
            </w:r>
          </w:p>
        </w:tc>
        <w:tc>
          <w:tcPr>
            <w:tcW w:type="dxa" w:w="3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Pied de mur humide, salpêtre (dépôt blanc), dégradation plâtre bas, odeur</w:t>
            </w:r>
          </w:p>
        </w:tc>
        <w:tc>
          <w:tcPr>
            <w:tcW w:type="dxa" w:w="24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Humidimètre + observation visuelle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Condensation en toiture</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Traces sur charpente, isolation mouillée dans les combles</w:t>
            </w:r>
          </w:p>
        </w:tc>
        <w:tc>
          <w:tcPr>
            <w:tcW w:type="dxa" w:w="2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Observation greniers (matin)</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Condensation en sous-sol</w:t>
            </w:r>
          </w:p>
        </w:tc>
        <w:tc>
          <w:tcPr>
            <w:tcW w:type="dxa" w:w="3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Cave / vide sanitaire humide — présence de flaques, condensation sur murs</w:t>
            </w:r>
          </w:p>
        </w:tc>
        <w:tc>
          <w:tcPr>
            <w:tcW w:type="dxa" w:w="24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Observation cave / vide sanitaire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Odeurs caractéristiques</w:t>
            </w:r>
          </w:p>
        </w:tc>
        <w:tc>
          <w:tcPr>
            <w:tcW w:type="dxa" w:w="3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Odeur de moisissure (champignon) / Odeur d'humidité / Odeur de renfermé persistant</w:t>
            </w:r>
          </w:p>
        </w:tc>
        <w:tc>
          <w:tcPr>
            <w:tcW w:type="dxa" w:w="24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CA6F1E"/>
                <w:sz w:val="18"/>
                <w:szCs w:val="18"/>
              </w:rPr>
              <w:t xml:space="preserve">Olfactif sur site — fiable indicateur</w:t>
            </w:r>
          </w:p>
        </w:tc>
      </w:tr>
      <w:tr>
        <w:tc>
          <w:tcPr>
            <w:tcW w:type="dxa" w:w="23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bCs/>
                <w:color w:val="1C2833"/>
                <w:sz w:val="18"/>
                <w:szCs w:val="18"/>
              </w:rPr>
              <w:t xml:space="preserve">Bilan hygrométrique saisonnier</w:t>
            </w:r>
          </w:p>
        </w:tc>
        <w:tc>
          <w:tcPr>
            <w:tcW w:type="dxa" w:w="3400"/>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1C2833"/>
                <w:sz w:val="18"/>
                <w:szCs w:val="18"/>
              </w:rPr>
              <w:t xml:space="preserve">Relevés idéalement en 4 saisons — hiver = condensation / été = séchage</w:t>
            </w:r>
          </w:p>
        </w:tc>
        <w:tc>
          <w:tcPr>
            <w:tcW w:type="dxa" w:w="2448"/>
            <w:tcBorders>
              <w:top w:val="single" w:color="C0C0C0" w:sz="1"/>
              <w:left w:val="single" w:color="C0C0C0" w:sz="1"/>
              <w:bottom w:val="single" w:color="C0C0C0" w:sz="1"/>
              <w:right w:val="single" w:color="C0C0C0" w:sz="1"/>
            </w:tcBorders>
            <w:shd w:fill="FDEBD0" w:val="clear"/>
            <w:tcMar>
              <w:top w:type="dxa" w:w="60"/>
              <w:left w:type="dxa" w:w="110"/>
              <w:bottom w:type="dxa" w:w="60"/>
              <w:right w:type="dxa" w:w="110"/>
            </w:tcMar>
          </w:tcPr>
          <w:p>
            <w:r>
              <w:rPr>
                <w:rFonts w:ascii="Arial" w:cs="Arial" w:eastAsia="Arial" w:hAnsi="Arial"/>
                <w:b w:val="false"/>
                <w:bCs w:val="false"/>
                <w:color w:val="CA6F1E"/>
                <w:sz w:val="18"/>
                <w:szCs w:val="18"/>
              </w:rPr>
              <w:t xml:space="preserve">Idealement 4 relevés/an si locataire en place</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15. Cuisine</w:t>
      </w:r>
    </w:p>
    <w:p>
      <w:pPr>
        <w:spacing w:before="60" w:after="120"/>
      </w:pPr>
      <w:r>
        <w:rPr>
          <w:rFonts w:ascii="Arial" w:cs="Arial" w:eastAsia="Arial" w:hAnsi="Arial"/>
          <w:i/>
          <w:iCs/>
          <w:color w:val="4A4A4A"/>
          <w:sz w:val="19"/>
          <w:szCs w:val="19"/>
        </w:rPr>
        <w:t xml:space="preserve">Configuration, équipements inclus, plan de travail, électroménager, robinetterie et crédence.</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500"/>
        <w:gridCol w:w="5648"/>
      </w:tblGrid>
      <w:tr>
        <w:trPr>
          <w:tblHeader/>
        </w:trPr>
        <w:tc>
          <w:tcPr>
            <w:tcW w:type="dxa" w:w="25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5648"/>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Description / Options</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Surface</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m² totaux — cuisine ouverte intégrée au séjour (déduire de la surface séjour) ou fermée</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Type de configuration</w:t>
            </w:r>
          </w:p>
        </w:tc>
        <w:tc>
          <w:tcPr>
            <w:tcW w:type="dxa" w:w="56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Cuisine ouverte (intégrée séjour) / Semi-ouverte (passe-plat) / Cuisine fermée indépendante</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Cuisine équipée</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Oui (liste des équipements inclus : four, plaque, hotte, lave-vaisselle, réfrigérateur, congélateur) / Non équipée</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Plan de travail</w:t>
            </w:r>
          </w:p>
        </w:tc>
        <w:tc>
          <w:tcPr>
            <w:tcW w:type="dxa" w:w="56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Matériau : stratifié (basique) / Granit naturel / Quartz composite / Bois (teck, chêne) / Inox — état et surface (ml)</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Façades des meubles</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Laqué / Bois verni / Bois brut / Verre / Mat effet béton — état (rayures, gonflements, charnières cassées)</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Plaque de cuisson</w:t>
            </w:r>
          </w:p>
        </w:tc>
        <w:tc>
          <w:tcPr>
            <w:tcW w:type="dxa" w:w="56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Gaz (nombre de feux) / Induction (zones) / Vitrocéramique / Gaz sous vitrocéramique — marque et état</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Four</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Intégré / Pose libre / Combiné micro-ondes — marque, état, pyrolyse ou non</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Hotte</w:t>
            </w:r>
          </w:p>
        </w:tc>
        <w:tc>
          <w:tcPr>
            <w:tcW w:type="dxa" w:w="56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Aspirante avec évacuation extérieure (recommandée) / Filtrante (recirculation) / Centrale îlot / Intégrée plan de travail — débit m³/h</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Lave-vaisselle</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Intégré / Pose libre / Semi-intégré — marque, état, classe énergie</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Réfrigérateur / Congélateur</w:t>
            </w:r>
          </w:p>
        </w:tc>
        <w:tc>
          <w:tcPr>
            <w:tcW w:type="dxa" w:w="56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Intégré / Américain / Pose libre — marque, état, classe énergie</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Évier</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Simple bac / Double bac — matière (inox, résine, céramique) — état (rayures)</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Robinetterie cuisine</w:t>
            </w:r>
          </w:p>
        </w:tc>
        <w:tc>
          <w:tcPr>
            <w:tcW w:type="dxa" w:w="56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Mitigeur standard / Mitigeur douchette extractible / Thermostatique — marque, état, fuite</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Crédence</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Carrelage / Inox / Verre trempé / Stratifié — état (joints, éclats, propreté)</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16. Salles de Bain et WC</w:t>
      </w:r>
    </w:p>
    <w:p>
      <w:pPr>
        <w:spacing w:before="60" w:after="120"/>
      </w:pPr>
      <w:r>
        <w:rPr>
          <w:rFonts w:ascii="Arial" w:cs="Arial" w:eastAsia="Arial" w:hAnsi="Arial"/>
          <w:i/>
          <w:iCs/>
          <w:color w:val="4A4A4A"/>
          <w:sz w:val="19"/>
          <w:szCs w:val="19"/>
        </w:rPr>
        <w:t xml:space="preserve">Nombre, surfaces, équipements (baignoire, douche, vasque), carrelage, ventilation et robinetterie.</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500"/>
        <w:gridCol w:w="5648"/>
      </w:tblGrid>
      <w:tr>
        <w:trPr>
          <w:tblHeader/>
        </w:trPr>
        <w:tc>
          <w:tcPr>
            <w:tcW w:type="dxa" w:w="2500"/>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5648"/>
            <w:tcBorders>
              <w:top w:val="single" w:color="C0C0C0" w:sz="1"/>
              <w:left w:val="single" w:color="C0C0C0" w:sz="1"/>
              <w:bottom w:val="single" w:color="C0C0C0" w:sz="1"/>
              <w:right w:val="single" w:color="C0C0C0" w:sz="1"/>
            </w:tcBorders>
            <w:shd w:fill="1F4E79" w:val="clear"/>
            <w:tcMar>
              <w:top w:type="dxa" w:w="70"/>
              <w:left w:type="dxa" w:w="110"/>
              <w:bottom w:type="dxa" w:w="70"/>
              <w:right w:type="dxa" w:w="110"/>
            </w:tcMar>
            <w:vAlign w:val="center"/>
          </w:tcPr>
          <w:p>
            <w:r>
              <w:rPr>
                <w:rFonts w:ascii="Arial" w:cs="Arial" w:eastAsia="Arial" w:hAnsi="Arial"/>
                <w:b/>
                <w:bCs/>
                <w:color w:val="FFFFFF"/>
                <w:sz w:val="18"/>
                <w:szCs w:val="18"/>
              </w:rPr>
              <w:t xml:space="preserve">Description / Options</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Nombre de salles de bain</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Total des SDB avec baignoire ou douche — SDB complète (baignoire+douche+vasque) vs salle d'eau</w:t>
            </w:r>
          </w:p>
        </w:tc>
      </w:tr>
      <w:tr>
        <w:tc>
          <w:tcPr>
            <w:tcW w:type="dxa" w:w="25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Surface par salle de bain</w:t>
            </w:r>
          </w:p>
        </w:tc>
        <w:tc>
          <w:tcPr>
            <w:tcW w:type="dxa" w:w="56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m² — &lt;4m² = petite / 4-8m² = standard / &gt;8m² = grande</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Baignoire</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Encastrée (standard) / Îlot (haut de gamme) / Balnéothérapie — matière (acrylique, fonte, résine) — état</w:t>
            </w:r>
          </w:p>
        </w:tc>
      </w:tr>
      <w:tr>
        <w:tc>
          <w:tcPr>
            <w:tcW w:type="dxa" w:w="25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Douche</w:t>
            </w:r>
          </w:p>
        </w:tc>
        <w:tc>
          <w:tcPr>
            <w:tcW w:type="dxa" w:w="56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Italienne (receveur affleurant ou sans receveur) / Cabine préfabriquée — dimensions (cm) — état des joints et bac</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Vasque / Lavabo</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Simple vasque / Double vasque / À poser (design) / Encastrée — matière (céramique, verre, béton) — état</w:t>
            </w:r>
          </w:p>
        </w:tc>
      </w:tr>
      <w:tr>
        <w:tc>
          <w:tcPr>
            <w:tcW w:type="dxa" w:w="25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Plan vasque / Meuble sous-vasque</w:t>
            </w:r>
          </w:p>
        </w:tc>
        <w:tc>
          <w:tcPr>
            <w:tcW w:type="dxa" w:w="56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meuble avec rangements, matière (bois, laqué, PVC), état et âge</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Miroir et éclairage SDB</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Miroir avec éclairage intégré / Simple miroir — modernité, halogène ou LED, état</w:t>
            </w:r>
          </w:p>
        </w:tc>
      </w:tr>
      <w:tr>
        <w:tc>
          <w:tcPr>
            <w:tcW w:type="dxa" w:w="25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WC dans SDB</w:t>
            </w:r>
          </w:p>
        </w:tc>
        <w:tc>
          <w:tcPr>
            <w:tcW w:type="dxa" w:w="56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Présent / Absent — intégré dans la surface de la SDB</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WC indépendants</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Nombre de WC indépendants — suspendu (carénage mural) / À poser — état</w:t>
            </w:r>
          </w:p>
        </w:tc>
      </w:tr>
      <w:tr>
        <w:tc>
          <w:tcPr>
            <w:tcW w:type="dxa" w:w="25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Abattant WC</w:t>
            </w:r>
          </w:p>
        </w:tc>
        <w:tc>
          <w:tcPr>
            <w:tcW w:type="dxa" w:w="56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Standard / Abattant frein de chute (soft close) / Japonais (lavant, désodorisant)</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Carrelage SDB</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Type (grès cérame, faïence), taille des carreaux, état des joints, absence de fissures ou décollements</w:t>
            </w:r>
          </w:p>
        </w:tc>
      </w:tr>
      <w:tr>
        <w:tc>
          <w:tcPr>
            <w:tcW w:type="dxa" w:w="25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Ventilation SDB</w:t>
            </w:r>
          </w:p>
        </w:tc>
        <w:tc>
          <w:tcPr>
            <w:tcW w:type="dxa" w:w="56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VMC débit suffisant / Fenêtre (insuffisant sans VMC) / Absence totale (risque moisissures)</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Robinetterie SDB</w:t>
            </w:r>
          </w:p>
        </w:tc>
        <w:tc>
          <w:tcPr>
            <w:tcW w:type="dxa" w:w="56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Marque (Grohe, Hansgrohe, Jacob Delafon...) / Mitigeur thermostatique (économie eau chaude) / Standard — état et fuites</w:t>
            </w:r>
          </w:p>
        </w:tc>
      </w:tr>
      <w:tr>
        <w:tc>
          <w:tcPr>
            <w:tcW w:type="dxa" w:w="2500"/>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bCs/>
                <w:color w:val="1C2833"/>
                <w:sz w:val="18"/>
                <w:szCs w:val="18"/>
              </w:rPr>
              <w:t xml:space="preserve">Radiateur sèche-serviettes</w:t>
            </w:r>
          </w:p>
        </w:tc>
        <w:tc>
          <w:tcPr>
            <w:tcW w:type="dxa" w:w="5648"/>
            <w:tcBorders>
              <w:top w:val="single" w:color="C0C0C0" w:sz="1"/>
              <w:left w:val="single" w:color="C0C0C0" w:sz="1"/>
              <w:bottom w:val="single" w:color="C0C0C0" w:sz="1"/>
              <w:right w:val="single" w:color="C0C0C0" w:sz="1"/>
            </w:tcBorders>
            <w:shd w:fill="F2F3F4" w:val="clear"/>
            <w:tcMar>
              <w:top w:type="dxa" w:w="60"/>
              <w:left w:type="dxa" w:w="110"/>
              <w:bottom w:type="dxa" w:w="60"/>
              <w:right w:type="dxa" w:w="110"/>
            </w:tcMar>
          </w:tcPr>
          <w:p>
            <w:r>
              <w:rPr>
                <w:rFonts w:ascii="Arial" w:cs="Arial" w:eastAsia="Arial" w:hAnsi="Arial"/>
                <w:b w:val="false"/>
                <w:bCs w:val="false"/>
                <w:color w:val="1C2833"/>
                <w:sz w:val="18"/>
                <w:szCs w:val="18"/>
              </w:rPr>
              <w:t xml:space="preserve">Électrique / Hydraulique (branché sur circuit chauffage) — marque, état, puissance W</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17. Parties Communes (Copropriété)</w:t>
      </w:r>
    </w:p>
    <w:p>
      <w:pPr>
        <w:spacing w:before="60" w:after="120"/>
      </w:pPr>
      <w:r>
        <w:rPr>
          <w:rFonts w:ascii="Arial" w:cs="Arial" w:eastAsia="Arial" w:hAnsi="Arial"/>
          <w:i/>
          <w:iCs/>
          <w:color w:val="4A4A4A"/>
          <w:sz w:val="19"/>
          <w:szCs w:val="19"/>
        </w:rPr>
        <w:t xml:space="preserve">État des halls, escaliers, ascenseur, espaces communs, carnet d'entretien, charges et travaux votés.</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2348"/>
      </w:tblGrid>
      <w:tr>
        <w:trPr>
          <w:tblHeader/>
        </w:trPr>
        <w:tc>
          <w:tcPr>
            <w:tcW w:type="dxa" w:w="25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3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Évaluation / État</w:t>
            </w:r>
          </w:p>
        </w:tc>
        <w:tc>
          <w:tcPr>
            <w:tcW w:type="dxa" w:w="2348"/>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Source / Document</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Hall d'entrée</w:t>
            </w:r>
          </w:p>
        </w:tc>
        <w:tc>
          <w:tcPr>
            <w:tcW w:type="dxa" w:w="3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Neuf / Correct / Dégradé — sécurisé (digicode, visiophone) ou non — luminosité</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terrain</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Couloirs et paliers</w:t>
            </w:r>
          </w:p>
        </w:tc>
        <w:tc>
          <w:tcPr>
            <w:tcW w:type="dxa" w:w="3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État des peintures, revêtements sols (carrelage, parquet, moquette), propreté générale</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terrain</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Cage d'escalier</w:t>
            </w:r>
          </w:p>
        </w:tc>
        <w:tc>
          <w:tcPr>
            <w:tcW w:type="dxa" w:w="3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Matériaux (béton, métal, bois), état, éclairage (minuterie, détecteur mouvement, LED)</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terrain</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Ascenseur</w:t>
            </w:r>
          </w:p>
        </w:tc>
        <w:tc>
          <w:tcPr>
            <w:tcW w:type="dxa" w:w="3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marque (Otis, Kone, Schindler...), âge, dernier contrôle technique réglementaire, état cabine</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Carnet d'entretien syndic</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Porte cochère / Portail commun</w:t>
            </w:r>
          </w:p>
        </w:tc>
        <w:tc>
          <w:tcPr>
            <w:tcW w:type="dxa" w:w="3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État, motorisé ou non, dernier entretien, sécurisation</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terrain + syndic</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Boîtes aux lettres</w:t>
            </w:r>
          </w:p>
        </w:tc>
        <w:tc>
          <w:tcPr>
            <w:tcW w:type="dxa" w:w="3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Normalisées NF (obligatoire depuis 1979) / Non normalisées — état général, sécurité</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terrain</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Local à vélos</w:t>
            </w:r>
          </w:p>
        </w:tc>
        <w:tc>
          <w:tcPr>
            <w:tcW w:type="dxa" w:w="3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surface (m²), sécurisé (cadenas, digicode), aménagements (crochets, bornes VE)</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terrain</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Local poubelles</w:t>
            </w:r>
          </w:p>
        </w:tc>
        <w:tc>
          <w:tcPr>
            <w:tcW w:type="dxa" w:w="3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tri sélectif organisé, propreté, ventilation, accès facilité</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terrain</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Cave commune</w:t>
            </w:r>
          </w:p>
        </w:tc>
        <w:tc>
          <w:tcPr>
            <w:tcW w:type="dxa" w:w="3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Accès, état (humidité, propreté), sécurisation des caves privatisées</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terrain</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Espaces extérieurs communs</w:t>
            </w:r>
          </w:p>
        </w:tc>
        <w:tc>
          <w:tcPr>
            <w:tcW w:type="dxa" w:w="3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Jardins partagés, cours, aires de jeux — état d'entretien, éclairage, mobilier</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Visite terrain</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Gardien / Gardienne</w:t>
            </w:r>
          </w:p>
        </w:tc>
        <w:tc>
          <w:tcPr>
            <w:tcW w:type="dxa" w:w="3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horaires, loge gardien intégrée — service courrier, entretien</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Contact syndic</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Carnet d'entretien de l'immeuble</w:t>
            </w:r>
          </w:p>
        </w:tc>
        <w:tc>
          <w:tcPr>
            <w:tcW w:type="dxa" w:w="3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À jour (obligatoire) / Non tenu — historique des travaux réalisés depuis 10 ans</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Demander au syndic</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Procès-verbaux des AG (3 ans)</w:t>
            </w:r>
          </w:p>
        </w:tc>
        <w:tc>
          <w:tcPr>
            <w:tcW w:type="dxa" w:w="3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Travaux votés, travaux prévus, contentieux en cours, créances sur copropriétaires</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Obligatoire à la vente</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Fonds de travaux (loi ALUR)</w:t>
            </w:r>
          </w:p>
        </w:tc>
        <w:tc>
          <w:tcPr>
            <w:tcW w:type="dxa" w:w="3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Montant de l'épargne collective pour travaux futurs — % des charges courantes</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État daté du syndic</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Charges de copropriété</w:t>
            </w:r>
          </w:p>
        </w:tc>
        <w:tc>
          <w:tcPr>
            <w:tcW w:type="dxa" w:w="3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€/mois — détail par postes : entretien, assurance, gardien, eau commune, électricité...</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Appels de fonds</w:t>
            </w:r>
          </w:p>
        </w:tc>
      </w:tr>
      <w:tr>
        <w:tc>
          <w:tcPr>
            <w:tcW w:type="dxa" w:w="25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Travaux à venir identifiés</w:t>
            </w:r>
          </w:p>
        </w:tc>
        <w:tc>
          <w:tcPr>
            <w:tcW w:type="dxa" w:w="3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Votés (chiffrés) ou prévisibles : ravalement, toiture, ascenseur, canalisations communes</w:t>
            </w:r>
          </w:p>
        </w:tc>
        <w:tc>
          <w:tcPr>
            <w:tcW w:type="dxa" w:w="23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PV AG + DTG (Diagnostic Technique Global)</w:t>
            </w:r>
          </w:p>
        </w:tc>
      </w:tr>
      <w:tr>
        <w:tc>
          <w:tcPr>
            <w:tcW w:type="dxa" w:w="25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Impayés copropriété</w:t>
            </w:r>
          </w:p>
        </w:tc>
        <w:tc>
          <w:tcPr>
            <w:tcW w:type="dxa" w:w="3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 de copropriétaires en impayés — indicateur de santé financière de la copropriété</w:t>
            </w:r>
          </w:p>
        </w:tc>
        <w:tc>
          <w:tcPr>
            <w:tcW w:type="dxa" w:w="23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État financier syndic</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18. Diagnostics Immobiliers Obligatoires</w:t>
      </w:r>
    </w:p>
    <w:p>
      <w:pPr>
        <w:spacing w:before="60" w:after="120"/>
      </w:pPr>
      <w:r>
        <w:rPr>
          <w:rFonts w:ascii="Arial" w:cs="Arial" w:eastAsia="Arial" w:hAnsi="Arial"/>
          <w:i/>
          <w:iCs/>
          <w:color w:val="4A4A4A"/>
          <w:sz w:val="19"/>
          <w:szCs w:val="19"/>
        </w:rPr>
        <w:t xml:space="preserve">12 diagnostics légaux à la vente : obligation, durée de validité et contenu attendu du rapport.</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2748"/>
      </w:tblGrid>
      <w:tr>
        <w:trPr>
          <w:tblHeader/>
        </w:trPr>
        <w:tc>
          <w:tcPr>
            <w:tcW w:type="dxa" w:w="2000"/>
            <w:tcBorders>
              <w:top w:val="single" w:color="C0C0C0" w:sz="1"/>
              <w:left w:val="single" w:color="C0C0C0" w:sz="1"/>
              <w:bottom w:val="single" w:color="C0C0C0" w:sz="1"/>
              <w:right w:val="single" w:color="C0C0C0" w:sz="1"/>
            </w:tcBorders>
            <w:shd w:fill="922B21" w:val="clear"/>
            <w:tcMar>
              <w:top w:type="dxa" w:w="70"/>
              <w:left w:type="dxa" w:w="110"/>
              <w:bottom w:type="dxa" w:w="70"/>
              <w:right w:type="dxa" w:w="110"/>
            </w:tcMar>
            <w:vAlign w:val="center"/>
          </w:tcPr>
          <w:p>
            <w:r>
              <w:rPr>
                <w:rFonts w:ascii="Arial" w:cs="Arial" w:eastAsia="Arial" w:hAnsi="Arial"/>
                <w:b/>
                <w:bCs/>
                <w:color w:val="FFFFFF"/>
                <w:sz w:val="18"/>
                <w:szCs w:val="18"/>
              </w:rPr>
              <w:t xml:space="preserve">Diagnostic</w:t>
            </w:r>
          </w:p>
        </w:tc>
        <w:tc>
          <w:tcPr>
            <w:tcW w:type="dxa" w:w="2000"/>
            <w:tcBorders>
              <w:top w:val="single" w:color="C0C0C0" w:sz="1"/>
              <w:left w:val="single" w:color="C0C0C0" w:sz="1"/>
              <w:bottom w:val="single" w:color="C0C0C0" w:sz="1"/>
              <w:right w:val="single" w:color="C0C0C0" w:sz="1"/>
            </w:tcBorders>
            <w:shd w:fill="922B21" w:val="clear"/>
            <w:tcMar>
              <w:top w:type="dxa" w:w="70"/>
              <w:left w:type="dxa" w:w="110"/>
              <w:bottom w:type="dxa" w:w="70"/>
              <w:right w:type="dxa" w:w="110"/>
            </w:tcMar>
            <w:vAlign w:val="center"/>
          </w:tcPr>
          <w:p>
            <w:r>
              <w:rPr>
                <w:rFonts w:ascii="Arial" w:cs="Arial" w:eastAsia="Arial" w:hAnsi="Arial"/>
                <w:b/>
                <w:bCs/>
                <w:color w:val="FFFFFF"/>
                <w:sz w:val="18"/>
                <w:szCs w:val="18"/>
              </w:rPr>
              <w:t xml:space="preserve">Obligatoire si...</w:t>
            </w:r>
          </w:p>
        </w:tc>
        <w:tc>
          <w:tcPr>
            <w:tcW w:type="dxa" w:w="1400"/>
            <w:tcBorders>
              <w:top w:val="single" w:color="C0C0C0" w:sz="1"/>
              <w:left w:val="single" w:color="C0C0C0" w:sz="1"/>
              <w:bottom w:val="single" w:color="C0C0C0" w:sz="1"/>
              <w:right w:val="single" w:color="C0C0C0" w:sz="1"/>
            </w:tcBorders>
            <w:shd w:fill="922B21" w:val="clear"/>
            <w:tcMar>
              <w:top w:type="dxa" w:w="70"/>
              <w:left w:type="dxa" w:w="110"/>
              <w:bottom w:type="dxa" w:w="70"/>
              <w:right w:type="dxa" w:w="110"/>
            </w:tcMar>
            <w:vAlign w:val="center"/>
          </w:tcPr>
          <w:p>
            <w:r>
              <w:rPr>
                <w:rFonts w:ascii="Arial" w:cs="Arial" w:eastAsia="Arial" w:hAnsi="Arial"/>
                <w:b/>
                <w:bCs/>
                <w:color w:val="FFFFFF"/>
                <w:sz w:val="18"/>
                <w:szCs w:val="18"/>
              </w:rPr>
              <w:t xml:space="preserve">Durée validité</w:t>
            </w:r>
          </w:p>
        </w:tc>
        <w:tc>
          <w:tcPr>
            <w:tcW w:type="dxa" w:w="2748"/>
            <w:tcBorders>
              <w:top w:val="single" w:color="C0C0C0" w:sz="1"/>
              <w:left w:val="single" w:color="C0C0C0" w:sz="1"/>
              <w:bottom w:val="single" w:color="C0C0C0" w:sz="1"/>
              <w:right w:val="single" w:color="C0C0C0" w:sz="1"/>
            </w:tcBorders>
            <w:shd w:fill="922B21" w:val="clear"/>
            <w:tcMar>
              <w:top w:type="dxa" w:w="70"/>
              <w:left w:type="dxa" w:w="110"/>
              <w:bottom w:type="dxa" w:w="70"/>
              <w:right w:type="dxa" w:w="110"/>
            </w:tcMar>
            <w:vAlign w:val="center"/>
          </w:tcPr>
          <w:p>
            <w:r>
              <w:rPr>
                <w:rFonts w:ascii="Arial" w:cs="Arial" w:eastAsia="Arial" w:hAnsi="Arial"/>
                <w:b/>
                <w:bCs/>
                <w:color w:val="FFFFFF"/>
                <w:sz w:val="18"/>
                <w:szCs w:val="18"/>
              </w:rPr>
              <w:t xml:space="preserve">Contenu / Résultats attendus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DPE (Performance Énergétique)</w:t>
            </w:r>
          </w:p>
        </w:tc>
        <w:tc>
          <w:tcPr>
            <w:tcW w:type="dxa" w:w="2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Toujours à la vente et location</w:t>
            </w:r>
          </w:p>
        </w:tc>
        <w:tc>
          <w:tcPr>
            <w:tcW w:type="dxa" w:w="1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922B21"/>
                <w:sz w:val="18"/>
                <w:szCs w:val="18"/>
              </w:rPr>
              <w:t xml:space="preserve">10 ans (post juil. 2021)</w:t>
            </w:r>
          </w:p>
        </w:tc>
        <w:tc>
          <w:tcPr>
            <w:tcW w:type="dxa" w:w="27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Étiquette énergie A-G, étiquette GES A-G, consommation kWh/m²/an, recommandations</w:t>
            </w:r>
          </w:p>
        </w:tc>
      </w:tr>
      <w:tr>
        <w:tc>
          <w:tcPr>
            <w:tcW w:type="dxa" w:w="20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bCs/>
                <w:color w:val="1C2833"/>
                <w:sz w:val="18"/>
                <w:szCs w:val="18"/>
              </w:rPr>
              <w:t xml:space="preserve">Diagnostic amiante (DTA/DAPP)</w:t>
            </w:r>
          </w:p>
        </w:tc>
        <w:tc>
          <w:tcPr>
            <w:tcW w:type="dxa" w:w="20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1C2833"/>
                <w:sz w:val="18"/>
                <w:szCs w:val="18"/>
              </w:rPr>
              <w:t xml:space="preserve">Permis de construire avant le 1/07/1997</w:t>
            </w:r>
          </w:p>
        </w:tc>
        <w:tc>
          <w:tcPr>
            <w:tcW w:type="dxa" w:w="14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922B21"/>
                <w:sz w:val="18"/>
                <w:szCs w:val="18"/>
              </w:rPr>
              <w:t xml:space="preserve">Illimité si absence certifiée</w:t>
            </w:r>
          </w:p>
        </w:tc>
        <w:tc>
          <w:tcPr>
            <w:tcW w:type="dxa" w:w="2748"/>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1C2833"/>
                <w:sz w:val="18"/>
                <w:szCs w:val="18"/>
              </w:rPr>
              <w:t xml:space="preserve">Localisation et état des matériaux amiantés — zones à risque</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CREP (Plomb)</w:t>
            </w:r>
          </w:p>
        </w:tc>
        <w:tc>
          <w:tcPr>
            <w:tcW w:type="dxa" w:w="2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Bien construit avant 1949</w:t>
            </w:r>
          </w:p>
        </w:tc>
        <w:tc>
          <w:tcPr>
            <w:tcW w:type="dxa" w:w="1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922B21"/>
                <w:sz w:val="18"/>
                <w:szCs w:val="18"/>
              </w:rPr>
              <w:t xml:space="preserve">Illimité si négatif / 1 an si positif</w:t>
            </w:r>
          </w:p>
        </w:tc>
        <w:tc>
          <w:tcPr>
            <w:tcW w:type="dxa" w:w="27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Concentration plomb dans peintures en µg/cm² — zones à risque</w:t>
            </w:r>
          </w:p>
        </w:tc>
      </w:tr>
      <w:tr>
        <w:tc>
          <w:tcPr>
            <w:tcW w:type="dxa" w:w="20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bCs/>
                <w:color w:val="1C2833"/>
                <w:sz w:val="18"/>
                <w:szCs w:val="18"/>
              </w:rPr>
              <w:t xml:space="preserve">Diagnostic termites</w:t>
            </w:r>
          </w:p>
        </w:tc>
        <w:tc>
          <w:tcPr>
            <w:tcW w:type="dxa" w:w="20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1C2833"/>
                <w:sz w:val="18"/>
                <w:szCs w:val="18"/>
              </w:rPr>
              <w:t xml:space="preserve">Zone définie par arrêté préfectoral</w:t>
            </w:r>
          </w:p>
        </w:tc>
        <w:tc>
          <w:tcPr>
            <w:tcW w:type="dxa" w:w="14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922B21"/>
                <w:sz w:val="18"/>
                <w:szCs w:val="18"/>
              </w:rPr>
              <w:t xml:space="preserve">6 mois</w:t>
            </w:r>
          </w:p>
        </w:tc>
        <w:tc>
          <w:tcPr>
            <w:tcW w:type="dxa" w:w="2748"/>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ou absence de termites — parties examinées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Diagnostic gaz</w:t>
            </w:r>
          </w:p>
        </w:tc>
        <w:tc>
          <w:tcPr>
            <w:tcW w:type="dxa" w:w="2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Installation gaz intérieure &gt;15 ans</w:t>
            </w:r>
          </w:p>
        </w:tc>
        <w:tc>
          <w:tcPr>
            <w:tcW w:type="dxa" w:w="1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922B21"/>
                <w:sz w:val="18"/>
                <w:szCs w:val="18"/>
              </w:rPr>
              <w:t xml:space="preserve">3 ans</w:t>
            </w:r>
          </w:p>
        </w:tc>
        <w:tc>
          <w:tcPr>
            <w:tcW w:type="dxa" w:w="27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État sécuritaire de l'installation : fuites, ventilation, appareils</w:t>
            </w:r>
          </w:p>
        </w:tc>
      </w:tr>
      <w:tr>
        <w:tc>
          <w:tcPr>
            <w:tcW w:type="dxa" w:w="20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bCs/>
                <w:color w:val="1C2833"/>
                <w:sz w:val="18"/>
                <w:szCs w:val="18"/>
              </w:rPr>
              <w:t xml:space="preserve">Diagnostic électricité</w:t>
            </w:r>
          </w:p>
        </w:tc>
        <w:tc>
          <w:tcPr>
            <w:tcW w:type="dxa" w:w="20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1C2833"/>
                <w:sz w:val="18"/>
                <w:szCs w:val="18"/>
              </w:rPr>
              <w:t xml:space="preserve">Installation électrique &gt;15 ans</w:t>
            </w:r>
          </w:p>
        </w:tc>
        <w:tc>
          <w:tcPr>
            <w:tcW w:type="dxa" w:w="14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922B21"/>
                <w:sz w:val="18"/>
                <w:szCs w:val="18"/>
              </w:rPr>
              <w:t xml:space="preserve">3 ans</w:t>
            </w:r>
          </w:p>
        </w:tc>
        <w:tc>
          <w:tcPr>
            <w:tcW w:type="dxa" w:w="2748"/>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1C2833"/>
                <w:sz w:val="18"/>
                <w:szCs w:val="18"/>
              </w:rPr>
              <w:t xml:space="preserve">Conformité NF C 15-100 — liste anomalies et points dangereux</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Diagnostic assainissement</w:t>
            </w:r>
          </w:p>
        </w:tc>
        <w:tc>
          <w:tcPr>
            <w:tcW w:type="dxa" w:w="2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Bien non raccordé au tout-à-l'égout</w:t>
            </w:r>
          </w:p>
        </w:tc>
        <w:tc>
          <w:tcPr>
            <w:tcW w:type="dxa" w:w="1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922B21"/>
                <w:sz w:val="18"/>
                <w:szCs w:val="18"/>
              </w:rPr>
              <w:t xml:space="preserve">3 ans</w:t>
            </w:r>
          </w:p>
        </w:tc>
        <w:tc>
          <w:tcPr>
            <w:tcW w:type="dxa" w:w="27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État et conformité de la fosse septique et du système d'épuration</w:t>
            </w:r>
          </w:p>
        </w:tc>
      </w:tr>
      <w:tr>
        <w:tc>
          <w:tcPr>
            <w:tcW w:type="dxa" w:w="20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bCs/>
                <w:color w:val="1C2833"/>
                <w:sz w:val="18"/>
                <w:szCs w:val="18"/>
              </w:rPr>
              <w:t xml:space="preserve">ERP (État des Risques et Pollutions)</w:t>
            </w:r>
          </w:p>
        </w:tc>
        <w:tc>
          <w:tcPr>
            <w:tcW w:type="dxa" w:w="20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1C2833"/>
                <w:sz w:val="18"/>
                <w:szCs w:val="18"/>
              </w:rPr>
              <w:t xml:space="preserve">Toujours à la vente et location</w:t>
            </w:r>
          </w:p>
        </w:tc>
        <w:tc>
          <w:tcPr>
            <w:tcW w:type="dxa" w:w="14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922B21"/>
                <w:sz w:val="18"/>
                <w:szCs w:val="18"/>
              </w:rPr>
              <w:t xml:space="preserve">6 mois</w:t>
            </w:r>
          </w:p>
        </w:tc>
        <w:tc>
          <w:tcPr>
            <w:tcW w:type="dxa" w:w="2748"/>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1C2833"/>
                <w:sz w:val="18"/>
                <w:szCs w:val="18"/>
              </w:rPr>
              <w:t xml:space="preserve">Risques naturels, technologiques, pollution sols, radon, minage</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Diagnostic bruit (Zone PEB)</w:t>
            </w:r>
          </w:p>
        </w:tc>
        <w:tc>
          <w:tcPr>
            <w:tcW w:type="dxa" w:w="2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Bien en zone PEB (aéroport)</w:t>
            </w:r>
          </w:p>
        </w:tc>
        <w:tc>
          <w:tcPr>
            <w:tcW w:type="dxa" w:w="1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922B21"/>
                <w:sz w:val="18"/>
                <w:szCs w:val="18"/>
              </w:rPr>
              <w:t xml:space="preserve">6 mois</w:t>
            </w:r>
          </w:p>
        </w:tc>
        <w:tc>
          <w:tcPr>
            <w:tcW w:type="dxa" w:w="27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Zone d'exposition au bruit aérien A, B, C ou D</w:t>
            </w:r>
          </w:p>
        </w:tc>
      </w:tr>
      <w:tr>
        <w:tc>
          <w:tcPr>
            <w:tcW w:type="dxa" w:w="20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bCs/>
                <w:color w:val="1C2833"/>
                <w:sz w:val="18"/>
                <w:szCs w:val="18"/>
              </w:rPr>
              <w:t xml:space="preserve">Mesurage loi Carrez</w:t>
            </w:r>
          </w:p>
        </w:tc>
        <w:tc>
          <w:tcPr>
            <w:tcW w:type="dxa" w:w="20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1C2833"/>
                <w:sz w:val="18"/>
                <w:szCs w:val="18"/>
              </w:rPr>
              <w:t xml:space="preserve">Bien en copropriété à la vente</w:t>
            </w:r>
          </w:p>
        </w:tc>
        <w:tc>
          <w:tcPr>
            <w:tcW w:type="dxa" w:w="14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922B21"/>
                <w:sz w:val="18"/>
                <w:szCs w:val="18"/>
              </w:rPr>
              <w:t xml:space="preserve">Permanent (sauf travaux modifiant surface)</w:t>
            </w:r>
          </w:p>
        </w:tc>
        <w:tc>
          <w:tcPr>
            <w:tcW w:type="dxa" w:w="2748"/>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1C2833"/>
                <w:sz w:val="18"/>
                <w:szCs w:val="18"/>
              </w:rPr>
              <w:t xml:space="preserve">Surface privative en m² loi Carrez — garantit l'acheteur</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Audit énergétique</w:t>
            </w:r>
          </w:p>
        </w:tc>
        <w:tc>
          <w:tcPr>
            <w:tcW w:type="dxa" w:w="20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Maisons individuelles DPE F ou G à la vente</w:t>
            </w:r>
          </w:p>
        </w:tc>
        <w:tc>
          <w:tcPr>
            <w:tcW w:type="dxa" w:w="14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922B21"/>
                <w:sz w:val="18"/>
                <w:szCs w:val="18"/>
              </w:rPr>
              <w:t xml:space="preserve">5 ans</w:t>
            </w:r>
          </w:p>
        </w:tc>
        <w:tc>
          <w:tcPr>
            <w:tcW w:type="dxa" w:w="27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Scénarios de travaux par étape, estimatifs coûts, gains DPE attendus, aides disponibles</w:t>
            </w:r>
          </w:p>
        </w:tc>
      </w:tr>
      <w:tr>
        <w:tc>
          <w:tcPr>
            <w:tcW w:type="dxa" w:w="20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bCs/>
                <w:color w:val="1C2833"/>
                <w:sz w:val="18"/>
                <w:szCs w:val="18"/>
              </w:rPr>
              <w:t xml:space="preserve">Diagnostic mérule</w:t>
            </w:r>
          </w:p>
        </w:tc>
        <w:tc>
          <w:tcPr>
            <w:tcW w:type="dxa" w:w="20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1C2833"/>
                <w:sz w:val="18"/>
                <w:szCs w:val="18"/>
              </w:rPr>
              <w:t xml:space="preserve">Zone à arrêté préfectoral (zones humides)</w:t>
            </w:r>
          </w:p>
        </w:tc>
        <w:tc>
          <w:tcPr>
            <w:tcW w:type="dxa" w:w="1400"/>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922B21"/>
                <w:sz w:val="18"/>
                <w:szCs w:val="18"/>
              </w:rPr>
              <w:t xml:space="preserve">6 mois</w:t>
            </w:r>
          </w:p>
        </w:tc>
        <w:tc>
          <w:tcPr>
            <w:tcW w:type="dxa" w:w="2748"/>
            <w:tcBorders>
              <w:top w:val="single" w:color="C0C0C0" w:sz="1"/>
              <w:left w:val="single" w:color="C0C0C0" w:sz="1"/>
              <w:bottom w:val="single" w:color="C0C0C0" w:sz="1"/>
              <w:right w:val="single" w:color="C0C0C0" w:sz="1"/>
            </w:tcBorders>
            <w:shd w:fill="FADBD8" w:val="clear"/>
            <w:tcMar>
              <w:top w:type="dxa" w:w="60"/>
              <w:left w:type="dxa" w:w="110"/>
              <w:bottom w:type="dxa" w:w="60"/>
              <w:right w:type="dxa" w:w="110"/>
            </w:tcMar>
          </w:tcPr>
          <w:p>
            <w:r>
              <w:rPr>
                <w:rFonts w:ascii="Arial" w:cs="Arial" w:eastAsia="Arial" w:hAnsi="Arial"/>
                <w:b w:val="false"/>
                <w:bCs w:val="false"/>
                <w:color w:val="1C2833"/>
                <w:sz w:val="18"/>
                <w:szCs w:val="18"/>
              </w:rPr>
              <w:t xml:space="preserve">Présence ou absence du champignon — étendue des dégâts</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4E79"/>
          <w:sz w:val="34"/>
          <w:szCs w:val="34"/>
        </w:rPr>
        <w:t xml:space="preserve">19. Équipements Technologiques et Durables</w:t>
      </w:r>
    </w:p>
    <w:p>
      <w:pPr>
        <w:spacing w:before="60" w:after="120"/>
      </w:pPr>
      <w:r>
        <w:rPr>
          <w:rFonts w:ascii="Arial" w:cs="Arial" w:eastAsia="Arial" w:hAnsi="Arial"/>
          <w:i/>
          <w:iCs/>
          <w:color w:val="4A4A4A"/>
          <w:sz w:val="19"/>
          <w:szCs w:val="19"/>
        </w:rPr>
        <w:t xml:space="preserve">Connectivité (fibre, domotique), production d'énergie renouvelable (PV, thermique), bornes VE, stockage et filtration d'eau.</w:t>
      </w:r>
    </w:p>
    <w:tbl>
      <w:tblPr>
        <w:tblW w:type="dxa" w:w="814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2148"/>
      </w:tblGrid>
      <w:tr>
        <w:trPr>
          <w:tblHeader/>
        </w:trPr>
        <w:tc>
          <w:tcPr>
            <w:tcW w:type="dxa" w:w="23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Donnée</w:t>
            </w:r>
          </w:p>
        </w:tc>
        <w:tc>
          <w:tcPr>
            <w:tcW w:type="dxa" w:w="3700"/>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Description / Options</w:t>
            </w:r>
          </w:p>
        </w:tc>
        <w:tc>
          <w:tcPr>
            <w:tcW w:type="dxa" w:w="2148"/>
            <w:tcBorders>
              <w:top w:val="single" w:color="C0C0C0" w:sz="1"/>
              <w:left w:val="single" w:color="C0C0C0" w:sz="1"/>
              <w:bottom w:val="single" w:color="C0C0C0" w:sz="1"/>
              <w:right w:val="single" w:color="C0C0C0" w:sz="1"/>
            </w:tcBorders>
            <w:shd w:fill="117A65" w:val="clear"/>
            <w:tcMar>
              <w:top w:type="dxa" w:w="70"/>
              <w:left w:type="dxa" w:w="110"/>
              <w:bottom w:type="dxa" w:w="70"/>
              <w:right w:type="dxa" w:w="110"/>
            </w:tcMar>
            <w:vAlign w:val="center"/>
          </w:tcPr>
          <w:p>
            <w:r>
              <w:rPr>
                <w:rFonts w:ascii="Arial" w:cs="Arial" w:eastAsia="Arial" w:hAnsi="Arial"/>
                <w:b/>
                <w:bCs/>
                <w:color w:val="FFFFFF"/>
                <w:sz w:val="18"/>
                <w:szCs w:val="18"/>
              </w:rPr>
              <w:t xml:space="preserve">Évaluation / Tendance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Fibre optique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Éligible FTTH / Raccordée dans l'immeuble / Présente dans le logement (prise RJ45 fibre) — opérateur</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Incontournable — critère rédhibitoire si absent</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Débit internet mesuré</w:t>
            </w:r>
          </w:p>
        </w:tc>
        <w:tc>
          <w:tcPr>
            <w:tcW w:type="dxa" w:w="3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Mbit/s réels mesurés en download et upload (speedtest.net) — technologie (fibre/câble/ADSL/4G fixe)</w:t>
            </w:r>
          </w:p>
        </w:tc>
        <w:tc>
          <w:tcPr>
            <w:tcW w:type="dxa" w:w="21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&gt;500 Mbit/s = excellent ; &lt;50 Mbit/s = insuffisant</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Prise TV / Satellite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Nombre et localisation — câble intégré / Parabole collective / TNT uniquement</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Standard attendu en 2025</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Alarme intrusion</w:t>
            </w:r>
          </w:p>
        </w:tc>
        <w:tc>
          <w:tcPr>
            <w:tcW w:type="dxa" w:w="3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Filaire (plus fiable) / Sans fil — marque (Ajax, Somfy, Daitem...) — contrat télésurveillance actif</w:t>
            </w:r>
          </w:p>
        </w:tc>
        <w:tc>
          <w:tcPr>
            <w:tcW w:type="dxa" w:w="21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Réduction prime assurance habitation</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Vidéosurveillance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Caméras intérieures / Extérieures — résolution (HD, 4K) — stockage cloud ou local (NAS)</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Standard haut de gamme</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Serrure connectée</w:t>
            </w:r>
          </w:p>
        </w:tc>
        <w:tc>
          <w:tcPr>
            <w:tcW w:type="dxa" w:w="3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Serrure électronique avec code / Badge / Empreinte / Application smartphone — marque (Nuki, Yale, Somfy)</w:t>
            </w:r>
          </w:p>
        </w:tc>
        <w:tc>
          <w:tcPr>
            <w:tcW w:type="dxa" w:w="21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Confort et sécurité modernes</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Système domotique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KNX (filaire, professionnel) / Zigbee / Z-Wave / Matter (standard universel) / Propriétaire (Legrand, Schneider, Somfy) — étendue de l'intégration</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KNX = haut de gamme (valorisation +)</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Panneaux solaires photovoltaïques</w:t>
            </w:r>
          </w:p>
        </w:tc>
        <w:tc>
          <w:tcPr>
            <w:tcW w:type="dxa" w:w="3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Puissance installée kWc / Orientation et inclinaison / Production annuelle kWh mesurée / Contrat rachat EDF OA (tarif et durée restante)</w:t>
            </w:r>
          </w:p>
        </w:tc>
        <w:tc>
          <w:tcPr>
            <w:tcW w:type="dxa" w:w="21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Fort argument : énergie verte + revenus</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Panneaux solaires thermiques</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m² de capteurs installés / Production ECS annuelle (kWh) / Appoint (électrique/gaz) / État</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Réduit facture eau chaude de 50-70%</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Batterie de stockage énergie</w:t>
            </w:r>
          </w:p>
        </w:tc>
        <w:tc>
          <w:tcPr>
            <w:tcW w:type="dxa" w:w="3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Capacité kWh / Marque (Tesla Powerwall, SolarEdge, Enphase) / Couplage avec panneaux PV</w:t>
            </w:r>
          </w:p>
        </w:tc>
        <w:tc>
          <w:tcPr>
            <w:tcW w:type="dxa" w:w="21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Autoconsommation optimisée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Borne de recharge véhicule électrique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Puissance : 3,7 kW / 7,4 kW (standard maison) / 22 kW (tri) — Mode 2 ou Mode 3 (prise T2)</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Argument fort pour propriétaires VE</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Récupération eau de pluie</w:t>
            </w:r>
          </w:p>
        </w:tc>
        <w:tc>
          <w:tcPr>
            <w:tcW w:type="dxa" w:w="3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Cuve de récupération (litres) — usage : arrosage, WC — filtre et pompe de relevage</w:t>
            </w:r>
          </w:p>
        </w:tc>
        <w:tc>
          <w:tcPr>
            <w:tcW w:type="dxa" w:w="21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Tendance écologique valorisante</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Puits canadien / géothermique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Échangeur de chaleur en sous-sol — préconditionne l'air entrant dans la VMC-DF</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Rare et valorisant — économies réelles</w:t>
            </w:r>
          </w:p>
        </w:tc>
      </w:tr>
      <w:tr>
        <w:tc>
          <w:tcPr>
            <w:tcW w:type="dxa" w:w="23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bCs/>
                <w:color w:val="1C2833"/>
                <w:sz w:val="18"/>
                <w:szCs w:val="18"/>
              </w:rPr>
              <w:t xml:space="preserve">Système de filtration d'eau intégré</w:t>
            </w:r>
          </w:p>
        </w:tc>
        <w:tc>
          <w:tcPr>
            <w:tcW w:type="dxa" w:w="3700"/>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C2833"/>
                <w:sz w:val="18"/>
                <w:szCs w:val="18"/>
              </w:rPr>
              <w:t xml:space="preserve">Type : osmose inverse / UV / Charbon actif / Descalant magnétique — localisation (global ou sous évier)</w:t>
            </w:r>
          </w:p>
        </w:tc>
        <w:tc>
          <w:tcPr>
            <w:tcW w:type="dxa" w:w="2148"/>
            <w:tcBorders>
              <w:top w:val="single" w:color="C0C0C0" w:sz="1"/>
              <w:left w:val="single" w:color="C0C0C0" w:sz="1"/>
              <w:bottom w:val="single" w:color="C0C0C0" w:sz="1"/>
              <w:right w:val="single" w:color="C0C0C0" w:sz="1"/>
            </w:tcBorders>
            <w:shd w:fill="D1F2EB" w:val="clear"/>
            <w:tcMar>
              <w:top w:type="dxa" w:w="60"/>
              <w:left w:type="dxa" w:w="110"/>
              <w:bottom w:type="dxa" w:w="60"/>
              <w:right w:type="dxa" w:w="110"/>
            </w:tcMar>
          </w:tcPr>
          <w:p>
            <w:r>
              <w:rPr>
                <w:rFonts w:ascii="Arial" w:cs="Arial" w:eastAsia="Arial" w:hAnsi="Arial"/>
                <w:b w:val="false"/>
                <w:bCs w:val="false"/>
                <w:color w:val="117A65"/>
                <w:sz w:val="18"/>
                <w:szCs w:val="18"/>
              </w:rPr>
              <w:t xml:space="preserve">Confort et santé</w:t>
            </w:r>
          </w:p>
        </w:tc>
      </w:tr>
      <w:tr>
        <w:tc>
          <w:tcPr>
            <w:tcW w:type="dxa" w:w="23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bCs/>
                <w:color w:val="1C2833"/>
                <w:sz w:val="18"/>
                <w:szCs w:val="18"/>
              </w:rPr>
              <w:t xml:space="preserve">Arrosage automatique</w:t>
            </w:r>
          </w:p>
        </w:tc>
        <w:tc>
          <w:tcPr>
            <w:tcW w:type="dxa" w:w="3700"/>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C2833"/>
                <w:sz w:val="18"/>
                <w:szCs w:val="18"/>
              </w:rPr>
              <w:t xml:space="preserve">Système programmable — nombre de zones — asperseurs ou goutte-à-goutte — état</w:t>
            </w:r>
          </w:p>
        </w:tc>
        <w:tc>
          <w:tcPr>
            <w:tcW w:type="dxa" w:w="2148"/>
            <w:tcBorders>
              <w:top w:val="single" w:color="C0C0C0" w:sz="1"/>
              <w:left w:val="single" w:color="C0C0C0" w:sz="1"/>
              <w:bottom w:val="single" w:color="C0C0C0" w:sz="1"/>
              <w:right w:val="single" w:color="C0C0C0" w:sz="1"/>
            </w:tcBorders>
            <w:shd w:fill="FFFFFF" w:val="clear"/>
            <w:tcMar>
              <w:top w:type="dxa" w:w="60"/>
              <w:left w:type="dxa" w:w="110"/>
              <w:bottom w:type="dxa" w:w="60"/>
              <w:right w:type="dxa" w:w="110"/>
            </w:tcMar>
          </w:tcPr>
          <w:p>
            <w:r>
              <w:rPr>
                <w:rFonts w:ascii="Arial" w:cs="Arial" w:eastAsia="Arial" w:hAnsi="Arial"/>
                <w:b w:val="false"/>
                <w:bCs w:val="false"/>
                <w:color w:val="117A65"/>
                <w:sz w:val="18"/>
                <w:szCs w:val="18"/>
              </w:rPr>
              <w:t xml:space="preserve">Confort jardin/piscine</w:t>
            </w:r>
          </w:p>
        </w:tc>
      </w:tr>
    </w:tbl>
    <w:p>
      <w:pPr>
        <w:spacing w:before="200" w:after="0"/>
      </w:pPr>
      <w:r>
        <w:t xml:space="preserve"/>
      </w:r>
    </w:p>
    <w:sectPr>
      <w:headerReference w:type="default" r:id="rId6"/>
      <w:footerReference w:type="default" r:id="rId7"/>
      <w:pgSz w:w="11906" w:h="16838" w:orient="portrait"/>
      <w:pgMar w:top="900" w:right="750" w:bottom="900" w:left="7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pPr>
    <w:r>
      <w:rPr>
        <w:rFonts w:ascii="Arial" w:cs="Arial" w:eastAsia="Arial" w:hAnsi="Arial"/>
        <w:color w:val="999999"/>
        <w:sz w:val="15"/>
        <w:szCs w:val="15"/>
      </w:rPr>
      <w:t xml:space="preserve">Référentiel données bien — Usage professionnel — </w:t>
    </w:r>
    <w:r>
      <w:rPr>
        <w:rFonts w:ascii="Arial" w:cs="Arial" w:eastAsia="Arial" w:hAnsi="Arial"/>
        <w:color w:val="999999"/>
        <w:sz w:val="15"/>
        <w:szCs w:val="15"/>
      </w:rPr>
      <w:t xml:space="preserve">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b/>
        <w:bCs/>
        <w:color w:val="1F4E79"/>
        <w:sz w:val="17"/>
        <w:szCs w:val="17"/>
      </w:rPr>
      <w:t xml:space="preserve">Données Intrinsèques du Bien — Évaluation Immobilière  </w:t>
    </w:r>
    <w:r>
      <w:rPr>
        <w:rFonts w:ascii="Arial" w:cs="Arial" w:eastAsia="Arial" w:hAnsi="Arial"/>
        <w:i/>
        <w:iCs/>
        <w:color w:val="999999"/>
        <w:sz w:val="17"/>
        <w:szCs w:val="17"/>
      </w:rPr>
      <w:t xml:space="preserve">ideeri.fr  |  Édition Février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sz w:val="34"/>
      <w:szCs w:val="34"/>
    </w:rPr>
  </w:style>
  <w:style w:type="paragraph" w:styleId="Heading2">
    <w:name w:val="Heading 2"/>
    <w:basedOn w:val="Normal"/>
    <w:next w:val="Normal"/>
    <w:qFormat/>
    <w:pPr>
      <w:spacing w:before="26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2026-02-28T19:19:01.455Z</dcterms:created>
  <dcterms:modified xsi:type="dcterms:W3CDTF">2026-02-28T19:19:01.455Z</dcterms:modified>
</cp:coreProperties>
</file>

<file path=docProps/custom.xml><?xml version="1.0" encoding="utf-8"?>
<Properties xmlns="http://schemas.openxmlformats.org/officeDocument/2006/custom-properties" xmlns:vt="http://schemas.openxmlformats.org/officeDocument/2006/docPropsVTypes"/>
</file>