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WHOLE GENOME SEQUENCING</w:t>
      </w:r>
    </w:p>
    <w:p>
      <w:pPr>
        <w:spacing w:after="300"/>
        <w:jc w:val="center"/>
      </w:pPr>
      <w:r>
        <w:rPr>
          <w:rFonts w:ascii="Arial" w:cs="Arial" w:eastAsia="Arial" w:hAnsi="Arial"/>
          <w:color w:val="2874A6"/>
          <w:sz w:val="26"/>
          <w:szCs w:val="26"/>
        </w:rPr>
        <w:t xml:space="preserve">Clinical Report - ACMG Secondary Findings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 Name: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[PATIENT NAME]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Birth: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[DOB]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Sex: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[M/F]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Ethnicity: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[ETHNICITY]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Specimen 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WGS-2024-12345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Specimen Type: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Peripheral Blood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Collection Date: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 Date: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2025-12-16</w:t>
            </w:r>
          </w:p>
        </w:tc>
      </w:tr>
    </w:tbl>
    <w:p>
      <w:pPr>
        <w:spacing w:before="300"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spacing w:before="10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CLINICALLY SIGNIFICANT FINDINGS DETECTED</w:t>
            </w:r>
          </w:p>
          <w:p>
            <w:pPr>
              <w:spacing w:before="50" w:after="10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This report contains PATHOGENIC and/or LIKELY PATHOGENIC variants. Genetic counseling is strongly recommended. See detailed findings below.</w:t>
            </w:r>
          </w:p>
        </w:tc>
      </w:tr>
    </w:tbl>
    <w:p>
      <w:pPr>
        <w:spacing w:before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EXECUTIVE SUMMARY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whole genome sequencing analysis was performed to screen for secondary findings in 81 genes recommended by ACMG SF v3.2. The analysis identified clinically significant findings that require follow-up.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Pathogenic Variants: </w:t>
            </w: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3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Likely Pathogenic Variants: </w:t>
            </w: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Carrier Status (AR conditions): </w:t>
            </w:r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1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Variants of Uncertain Significance: </w:t>
            </w: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1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PATHOGENIC/LIKELY PATHOGENIC FINDINGS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following clinically significant variants were identified: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600"/>
        <w:gridCol w:w="1100"/>
        <w:gridCol w:w="900"/>
        <w:gridCol w:w="1500"/>
        <w:gridCol w:w="1760"/>
      </w:tblGrid>
      <w:tr>
        <w:trPr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 (cDNA)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Protein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Zygosity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ACMG Criteria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ClinVar ID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BRCA1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c.5266dupC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p.Gln1756ProfsTer74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Heterozygous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PVS1, PM2, PP5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VCV000017661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LDLR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c.682G&gt;A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p.Glu228Lys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Heterozygous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PS3, PM1, PM2, PP3, PP5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VCV000003764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HFE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c.845G&gt;A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p.Cys282Tyr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Homozygous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PS1, PS3, PM2, PP5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VCV000003827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RYR1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c.7300G&gt;A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p.Gly2434Arg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Heterozygous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LP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PM1, PM2, PP3, PP5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VCV000004063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2.1 Detailed Variant Reports</w:t>
      </w:r>
    </w:p>
    <w:p>
      <w:pPr>
        <w:shd w:fill="E74C3C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Finding 1: BRCA1 - Pathogenic 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 (HGNC)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BRCA1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Transcript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NM_007294.4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Genomic Location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chr17:43057062 (GRCh38)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cDNA Change (HGVS)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c.5266dupC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Protein Change (HGVS)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p.Gln1756ProfsTer74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Zygosity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Heterozygous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Pathogenic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ACMG/AMP Criteria Applied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PVS1, PM2, PP5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ClinVar ID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VCV000017661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ClinVar Review Status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 (Expert panel)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dbSNP ID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rs80357906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gnomAD Allele Frequency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0.00002 (2/141,456)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gnomAD Popmax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0.00004 (Ashkenazi Jewish)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CADD Score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REVEL Score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(frameshift)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SpliceAI Score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Associated Condition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Hereditary Breast and Ovarian Cancer Syndrome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Inheritance Pattern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ClinGen Gene-Disease Validity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Definitive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Publications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PMID: 8524414, 9042909, 20104584</w:t>
            </w:r>
          </w:p>
        </w:tc>
      </w:tr>
    </w:tbl>
    <w:p>
      <w:pPr>
        <w:spacing w:before="15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Clinical Significance: </w:t>
      </w:r>
      <w:r>
        <w:rPr>
          <w:rFonts w:ascii="Arial" w:cs="Arial" w:eastAsia="Arial" w:hAnsi="Arial"/>
          <w:sz w:val="20"/>
          <w:szCs w:val="20"/>
        </w:rPr>
        <w:t xml:space="preserve">Hereditary Breast and Ovarian Cancer Syndrome</w:t>
      </w:r>
    </w:p>
    <w:p>
      <w:pPr>
        <w:spacing w:before="100"/>
      </w:pPr>
    </w:p>
    <w:p>
      <w:pPr>
        <w:shd w:fill="E74C3C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Finding 2: LDLR - Pathogenic 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 (HGNC)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LDLR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Transcript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NM_000527.5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Genomic Location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chr19:11113314 (GRCh38)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cDNA Change (HGVS)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c.682G&gt;A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Protein Change (HGVS)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p.Glu228Lys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Zygosity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Heterozygous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Pathogenic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ACMG/AMP Criteria Applied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PS3, PM1, PM2, PP3, PP5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ClinVar ID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VCV000003764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ClinVar Review Status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 (Expert panel)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dbSNP ID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rs28942078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gnomAD Allele Frequency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0.00001 (1/141,456)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gnomAD Popmax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0.00003 (European)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CADD Score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28.5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REVEL Score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0.876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SpliceAI Score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Associated Condition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Familial Hypercholesterolemia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Inheritance Pattern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AD/SD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ClinGen Gene-Disease Validity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Definitive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Publications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PMID: 2563166, 20301655, 28405004</w:t>
            </w:r>
          </w:p>
        </w:tc>
      </w:tr>
    </w:tbl>
    <w:p>
      <w:pPr>
        <w:spacing w:before="15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Clinical Significance: </w:t>
      </w:r>
      <w:r>
        <w:rPr>
          <w:rFonts w:ascii="Arial" w:cs="Arial" w:eastAsia="Arial" w:hAnsi="Arial"/>
          <w:sz w:val="20"/>
          <w:szCs w:val="20"/>
        </w:rPr>
        <w:t xml:space="preserve">Familial Hypercholesterolemia</w:t>
      </w:r>
    </w:p>
    <w:p>
      <w:pPr>
        <w:spacing w:before="100"/>
      </w:pPr>
    </w:p>
    <w:p>
      <w:pPr>
        <w:shd w:fill="E74C3C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Finding 3: HFE - Pathogenic 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 (HGNC)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HFE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Transcript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NM_000410.4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Genomic Location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chr6:26092913 (GRCh38)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cDNA Change (HGVS)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c.845G&gt;A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Protein Change (HGVS)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p.Cys282Tyr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Zygosity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Homozygous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Pathogenic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ACMG/AMP Criteria Applied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PS1, PS3, PM2, PP5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ClinVar ID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VCV000003827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ClinVar Review Status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★★★★ (Expert panel)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dbSNP ID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rs1800562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gnomAD Allele Frequency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0.057 (8,055/141,456)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gnomAD Popmax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0.097 (European - Non-Finnish)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CADD Score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24.7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REVEL Score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0.543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SpliceAI Score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Associated Condition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Hereditary Hemochromatosis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Inheritance Pattern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ClinGen Gene-Disease Validity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Definitive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Publications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PMID: 8696333, 9462745, 28886713</w:t>
            </w:r>
          </w:p>
        </w:tc>
      </w:tr>
    </w:tbl>
    <w:p>
      <w:pPr>
        <w:spacing w:before="15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Clinical Significance: </w:t>
      </w:r>
      <w:r>
        <w:rPr>
          <w:rFonts w:ascii="Arial" w:cs="Arial" w:eastAsia="Arial" w:hAnsi="Arial"/>
          <w:sz w:val="20"/>
          <w:szCs w:val="20"/>
        </w:rPr>
        <w:t xml:space="preserve">Hereditary Hemochromatosis</w:t>
      </w:r>
    </w:p>
    <w:p>
      <w:pPr>
        <w:spacing w:before="100"/>
      </w:pPr>
    </w:p>
    <w:p>
      <w:pPr>
        <w:shd w:fill="E67E22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Finding 4: RYR1 - Likely Pathogenic 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 (HGNC)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RYR1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Transcript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NM_000540.3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Genomic Location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chr19:38959789 (GRCh38)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cDNA Change (HGVS)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c.7300G&gt;A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Protein Change (HGVS)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p.Gly2434Arg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Zygosity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Heterozygous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Likely Pathogenic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ACMG/AMP Criteria Applied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PM1, PM2, PP3, PP5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ClinVar ID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VCV000004063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ClinVar Review Status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★★★ (2 submitters)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dbSNP ID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rs121918593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gnomAD Allele Frequency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0.00001 (1/141,456)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gnomAD Popmax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0.00002 (European)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CADD Score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26.3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REVEL Score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0.812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SpliceAI Score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0.02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Associated Condition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Malignant Hyperthermia Susceptibility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Inheritance Pattern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ClinGen Gene-Disease Validity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Definitive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Publications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PMID: 7647791, 14706354</w:t>
            </w:r>
          </w:p>
        </w:tc>
      </w:tr>
    </w:tbl>
    <w:p>
      <w:pPr>
        <w:spacing w:before="15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Clinical Significance: </w:t>
      </w:r>
      <w:r>
        <w:rPr>
          <w:rFonts w:ascii="Arial" w:cs="Arial" w:eastAsia="Arial" w:hAnsi="Arial"/>
          <w:sz w:val="20"/>
          <w:szCs w:val="20"/>
        </w:rPr>
        <w:t xml:space="preserve">Malignant Hyperthermia Susceptibility</w:t>
      </w:r>
    </w:p>
    <w:p>
      <w:pPr>
        <w:spacing w:before="1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CARRIER STATUS (Autosomal Recessive Conditions)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following heterozygous pathogenic variants were identified in genes associated with autosomal recessive conditions. These findings indicate carrier status only and do not cause disease in the heterozygous state.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2500"/>
        <w:gridCol w:w="186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98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98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 (cDNA)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98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Protein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98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98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Inheritance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MUTYH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c.536A&gt;G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p.Tyr179Cys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MUTYH-associated polyposis (MAP)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Clinical Implication: </w:t>
      </w:r>
      <w:r>
        <w:rPr>
          <w:rFonts w:ascii="Arial" w:cs="Arial" w:eastAsia="Arial" w:hAnsi="Arial"/>
          <w:sz w:val="20"/>
          <w:szCs w:val="20"/>
        </w:rPr>
        <w:t xml:space="preserve">Carrier testing for reproductive partners may be considered. Genetic counseling is recommended for family planning discussions.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VARIANTS OF UNCERTAIN SIGNIFICANCE (VUS)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</w:tcPr>
          <w:p>
            <w:pPr>
              <w:spacing w:before="10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IMPORTANT NOTICE</w:t>
            </w:r>
          </w:p>
          <w:p>
            <w:pPr>
              <w:spacing w:before="50" w:after="10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VUS should NOT be used for clinical decision-making. These variants may be reclassified as more data becomes available. Periodic re-evaluation is recommended.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1300"/>
        <w:gridCol w:w="1100"/>
        <w:gridCol w:w="800"/>
        <w:gridCol w:w="2260"/>
      </w:tblGrid>
      <w:tr>
        <w:trPr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Protein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ClinVar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gnomAD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CADD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MYBPC3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c.2159G&gt;A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p.Arg720Gln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VCV000012547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0.00005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23.4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Hypertrophic Cardiomyopathy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ACMG SECONDARY FINDINGS ANALYSIS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Complete analysis of 81 genes recommended by ACMG SF v3.2 for secondary findings reporting.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5.1 Cancer Predisposition Genes (28 genes)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1200"/>
        <w:gridCol w:w="2160"/>
      </w:tblGrid>
      <w:tr>
        <w:trPr>
          <w:tblHeader/>
        </w:trP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Associated Condition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Inheritance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APC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Familial adenomatous polyposis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BMPR1A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Juvenile polyposis syndrome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BRCA1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Hereditary breast/ovarian cancer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POSITIVE (P)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BRCA2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Hereditary breast/ovarian cancer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Hereditary paraganglioma-pheochromocytoma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MEN1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Multiple endocrine neoplasia type 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MLH1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Lynch syndrome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MSH2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Lynch syndrome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MSH6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Lynch syndrome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98DB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MUTYH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98DB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MUTYH-associated polyposis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98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AR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498D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CARRIER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NF2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Neurofibromatosis type 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PALB2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Hereditary breast cancer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PMS2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Lynch syndrome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PTEN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PTEN hamartoma tumor syndrome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RB1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Retinoblastoma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MEN2, Familial medullary thyroid cancer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SDHAF2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Hereditary paraganglioma-pheochromocytoma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SDHB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Hereditary paraganglioma-pheochromocytoma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SDHC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Hereditary paraganglioma-pheochromocytoma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SDHD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Hereditary paraganglioma-pheochromocytoma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SMAD4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Juvenile polyposis syndrome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STK11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Peutz-Jeghers syndrome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TMEM127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Hereditary paraganglioma-pheochromocytoma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TP53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Li-Fraumeni syndrome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TSC1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Tuberous sclerosis complex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TSC2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Tuberous sclerosis complex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VHL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Von Hippel-Lindau syndrome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WT1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Wilms tumor predisposition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5.2 Cardiovascular Genes (42 genes)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1200"/>
        <w:gridCol w:w="2160"/>
      </w:tblGrid>
      <w:tr>
        <w:trPr>
          <w:tblHeader/>
        </w:trP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Associated Condition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Inheritance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80B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ACTA2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Thoracic aortic aneurysm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ACTC1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Hypertrophic/Dilated cardiomyopathy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APOB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Familial hypercholesterolemia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AD/SD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BAG3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Dilated cardiomyopathy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CACNA1S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Malignant hyperthermia susceptibility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CALM1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 QT syndrome, CPVT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CALM2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 QT syndrome, CPVT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CALM3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 QT syndrome, CPVT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CASQ2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CPVT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COL3A1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Vascular Ehlers-Danlos syndrome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Dilated cardiomyopathy, ARVC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DSC2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ARVC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AD/AR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DSG2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ARVC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DSP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ARVC, Dilated cardiomyopathy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AD/AR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FBN1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Marfan syndrome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FLNC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Dilated/Hypertrophic cardiomyopathy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HNF1A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MODY3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KCNH2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 QT syndrome type 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KCNQ1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 QT syndrome type 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LDLR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Familial hypercholesterolemia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AD/SD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POSITIVE (P)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LMNA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Dilated cardiomyopathy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MYBPC3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Hypertrophic cardiomyopathy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MYH7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Hypertrophic/Dilated cardiomyopathy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MYH11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Thoracic aortic aneurysm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MYL2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Hypertrophic cardiomyopathy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MYL3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Hypertrophic cardiomyopathy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PCSK9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Familial hypercholesterolemia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PKP2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ARVC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RBM20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Dilated cardiomyopathy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RYR2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CPVT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SCN5A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 QT syndrome type 3, Brugada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SMAD3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Loeys-Dietz syndrome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TGFBR1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Loeys-Dietz syndrome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TGFBR2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Loeys-Dietz syndrome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TMEM43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ARVC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TNNC1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Dilated/Hypertrophic cardiomyopathy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TNNI3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Dilated/Hypertrophic cardiomyopathy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TNNT2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Dilated/Hypertrophic cardiomyopathy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TPM1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Dilated/Hypertrophic cardiomyopathy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TRDN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CPVT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TTN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Dilated cardiomyopathy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TTR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Hereditary transthyretin amyloidosis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5.3 Inborn Errors of Metabolism (6 genes)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1200"/>
        <w:gridCol w:w="2160"/>
      </w:tblGrid>
      <w:tr>
        <w:trPr>
          <w:tblHeader/>
        </w:trP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Associated Condition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Inheritance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E44A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ATP7B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Wilson disease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BTD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Biotinidase deficiency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GAA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Pompe disease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GLA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Fabry disease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XL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HFE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Hereditary hemochromatosis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AR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POSITIVE (P)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OTC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Ornithine transcarbamylase deficiency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XL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5.4 Miscellaneous Conditions (5 genes)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1200"/>
        <w:gridCol w:w="2160"/>
      </w:tblGrid>
      <w:tr>
        <w:trPr>
          <w:tblHeader/>
        </w:trP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6A08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6A08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Associated Condition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6A08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Inheritance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6A08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ACVRL1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Hereditary hemorrhagic telangiectasia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Hereditary hemorrhagic telangiectasia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RPE65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RPE65-related retinal dystrophy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RYR1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Malignant hyperthermia susceptibility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AD/AR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POSITIVE (LP)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CLINICAL RECOMMENDATIONS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6.1 BRCA1 - Hereditary Breast and Ovarian Cancer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Referral to oncology/high-risk breast clinic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Enhanced breast cancer screening (MRI + mammography from age 25)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Discussion of risk-reducing surgical options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Cascade genetic testing for at-risk family members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Consider PARP inhibitor eligibility if cancer develops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6.2 LDLR - Familial Hypercholesterolemia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Lipid panel and cardiovascular risk assessment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Initiation of high-intensity statin therapy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Referral to lipid specialist/cardiologist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Screening of first-degree relatives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Consider PCSK9 inhibitors if LDL-C target not achieved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6.3 HFE - Hereditary Hemochromatosis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Serum ferritin and transferrin saturation monitoring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Therapeutic phlebotomy if iron overload present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Liver function monitoring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Referral to hepatologist/hematologist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Avoid iron supplements and vitamin C with meals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6.4 RYR1 - Malignant Hyperthermia Susceptibility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Medical alert bracelet recommended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Avoid triggering anesthetic agents (volatile anesthetics, succinylcholine)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Inform anesthesiologist before any surgical procedure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Pre-surgical consultation with anesthesia team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Consider in vitro contracture test (IVCT) for confirmation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 METHODOLOGY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Sequencing Platform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Illumina NovaSeq 6000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Library Preparation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Illumina DNA Prep with Enrichment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Mean Coverage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&gt;30x across genome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 Genome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GRCh38/hg38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Alignment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BWA-MEM2 v2.2.1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Variant Calling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GATK HaplotypeCaller v4.4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Annotation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VEP, ANNOVAR, InterVar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Quality Metrics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≥99% bases ≥20x coverage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Confirmation Method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Sanger sequencing for P/LP variants</w:t>
            </w:r>
          </w:p>
        </w:tc>
      </w:tr>
    </w:tbl>
    <w:p>
      <w:pPr>
        <w:spacing w:before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 DATABASE VERSIONS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ClinVar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2024-12 release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gnomAD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v4.1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dbSNP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156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ACMG SF List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v3.2 (August 2023)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ClinGen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December 2024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CADD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v1.7 (GRCh38)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REVEL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SpliceAI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v1.3.1</w:t>
            </w:r>
          </w:p>
        </w:tc>
      </w:tr>
    </w:tbl>
    <w:p>
      <w:pPr>
        <w:spacing w:before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 LIMITATIONS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This analysis is limited to the 81 genes on the ACMG SF v3.2 list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Certain variant types may not be detected: large deletions/duplications, deep intronic variants, complex rearrangements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Regions with low coverage (&lt;20x) may have reduced sensitivity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Variants in pseudogenes, highly repetitive regions, or segmental duplications may be missed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Mosaicism below ~20% may not be detected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Clinical interpretation is based on current knowledge and may change as new data emerge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• Negative results do not eliminate genetic risk for the conditions tested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10. APPENDIX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10.1 ACMG/AMP Variant Classification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Pathogenic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&gt;99% certainty of being disease-causing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Pathogenic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90-99% certainty of being disease-causing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VUS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Insufficient evidence to classify as pathogenic or benign (10-90%)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Likely Benign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1-10% certainty of being disease-causing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Benign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&lt;1% certainty of being disease-causing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10.2 ACMG Evidence Criteria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PVS1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Very Strong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variant in gene where LOF is mechanism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PS1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Strong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amino acid change as established pathogenic variant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PS3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Strong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Well-established functional studies show deleterious effect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PM1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Moderate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Located in mutational hot spot or critical functional domain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PM2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Moderate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Absent/extremely rare in population databases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PP3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Supporting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Computational evidence supports deleterious effect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PP5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Supporting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Reputable source reports variant as pathogenic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10.3 ClinVar Review Status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Status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Expert panel reviewed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★★★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Multiple submitters, no conflicts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★★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Multiple submitters with conflicting interpretations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★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submitter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10.4 In Silico Prediction Tools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Thresholds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CADD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Combined Annotation Dependent Depletion. Score ≥20 suggests top 1% most deleterious; ≥30 suggests top 0.1%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REVEL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Rare Exome Variant Ensemble Learner. Score ≥0.5 suggests pathogenic; ≥0.75 high confidence pathogenic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SpliceAI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 learning splice prediction. Delta score ≥0.2 suggests splicing impact; ≥0.5 high confidence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11. AUTHORIZATION</w:t>
      </w:r>
    </w:p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Laboratory Director, MD, PhD, FACMG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Genetic Counselor, MS, CGC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Date: _______________</w:t>
            </w:r>
          </w:p>
        </w:tc>
      </w:tr>
    </w:tbl>
    <w:p>
      <w:pPr>
        <w:spacing w:before="400"/>
      </w:pPr>
    </w:p>
    <w:p>
      <w:pPr>
        <w:shd w:fill="F8F9FA" w:val="clear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This report is confidential and intended solely for the referring healthcare provider and patient.</w:t>
      </w:r>
    </w:p>
    <w:p>
      <w:pPr>
        <w:shd w:fill="F8F9FA" w:val="clear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Genetic counseling is recommended for all positive findings.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BDC3C7"/>
        <w:sz w:val="16"/>
        <w:szCs w:val="16"/>
      </w:rPr>
      <w:t xml:space="preserve">  |  Report ID: WGS-2024-12345  |  Generated: 2025-12-16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color w:val="1B4F72"/>
        <w:sz w:val="20"/>
        <w:szCs w:val="20"/>
      </w:rPr>
      <w:t xml:space="preserve">WHOLE GENOME SEQUENCING - CLINICAL REPORT</w:t>
    </w:r>
    <w:r>
      <w:rPr>
        <w:rFonts w:ascii="Arial" w:cs="Arial" w:eastAsia="Arial" w:hAnsi="Arial"/>
        <w:color w:val="BDC3C7"/>
        <w:sz w:val="20"/>
        <w:szCs w:val="20"/>
      </w:rPr>
      <w:t xml:space="preserve">  |  </w:t>
    </w:r>
    <w:r>
      <w:rPr>
        <w:rFonts w:ascii="Arial" w:cs="Arial" w:eastAsia="Arial" w:hAnsi="Arial"/>
        <w:b/>
        <w:bCs/>
        <w:color w:val="E74C3C"/>
        <w:sz w:val="20"/>
        <w:szCs w:val="20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498D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2025-12-16T14:09:06.740Z</dcterms:created>
  <dcterms:modified xsi:type="dcterms:W3CDTF">2025-12-16T14:09:06.740Z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