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4"/>
          <w:szCs w:val="34"/>
          <w:rtl w:val="0"/>
        </w:rPr>
        <w:t xml:space="preserve">Estructuras algebraicas </w:t>
      </w:r>
    </w:p>
    <w:p w:rsidR="00000000" w:rsidDel="00000000" w:rsidP="00000000" w:rsidRDefault="00000000" w:rsidRPr="00000000" w14:paraId="00000002">
      <w:pPr>
        <w:ind w:firstLine="0"/>
        <w:jc w:val="left"/>
        <w:rPr>
          <w:rFonts w:ascii="Arial" w:cs="Arial" w:eastAsia="Arial" w:hAnsi="Arial"/>
          <w:b w:val="1"/>
          <w:color w:val="073763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Propiedades de los números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Asociativa: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 + y) + z   =   x + (y + z)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Distributiva: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 * (y + z)   =   xy + xz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Conmutativa: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 + y  =  y + x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Grupo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algebraica que consiste de un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conjunto de números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una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operación interna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combina cualquier par de dos elementos para formar un tercero, también en el conjunto (es decir, la operación es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cerrada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Verifica la propiedad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asociativa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su operación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Incluye la existencia de un elemento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identidad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inverso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cada número.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se verifica la propiedad conmutativa en la 1ª operación, es un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grupo Abeliano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Ejemplo: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conjunto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aditivo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enteros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(Z, +)</w:t>
      </w:r>
    </w:p>
    <w:p w:rsidR="00000000" w:rsidDel="00000000" w:rsidP="00000000" w:rsidRDefault="00000000" w:rsidRPr="00000000" w14:paraId="0000000E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Anillo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algebraica que consiste de un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conjunto de números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operaciones internas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combina cualquier par de dos elementos para formar un tercero, también en el conjunto.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Verifica en sus operaciones la propiedad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asociativa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la existencia de un elemento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identidad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inverso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Ejemplos: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conjunto de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enteros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(Z, +, *), o de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matrices de orden 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(M, +, *)</w:t>
      </w:r>
    </w:p>
    <w:p w:rsidR="00000000" w:rsidDel="00000000" w:rsidP="00000000" w:rsidRDefault="00000000" w:rsidRPr="00000000" w14:paraId="00000012">
      <w:pPr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Cuerpo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algebraica en la cual existen las operaciones de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adición y multiplicación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y cumplen las propiedades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asociativa, distributiva y conmutativa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Además incluye un elemento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neutro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ambas operaciones, un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inverso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cada operación y elemento (que permiten efectuar sustracción y división).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representará con la letra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