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6277" w14:textId="6AEE750D" w:rsidR="00771305" w:rsidRDefault="00771305">
      <w:pPr>
        <w:rPr>
          <w:rFonts w:ascii="Calibri" w:hAnsi="Calibri" w:cs="Calibri"/>
          <w:b/>
          <w:sz w:val="36"/>
        </w:rPr>
      </w:pPr>
      <w:r w:rsidRPr="00771305">
        <w:rPr>
          <w:rFonts w:ascii="Calibri" w:hAnsi="Calibri" w:cs="Calibri"/>
          <w:b/>
          <w:sz w:val="36"/>
        </w:rPr>
        <w:t>RiskPulse: An Integrated Research Software Architecture for Multi-Hazard Evidence Governance, Remote Sensing, and Decision Support in Mountainous Terrain</w:t>
      </w:r>
    </w:p>
    <w:p w14:paraId="335F96A2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RiskPulse: An Integrated Research Software Architecture for Multi-Hazard Evidence Governance, Remote Sensing, and Decision Support in Mountainous Terrain</w:t>
      </w:r>
    </w:p>
    <w:p w14:paraId="4C489CCF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61694EC0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Author: Kuldeep Singh</w:t>
      </w:r>
    </w:p>
    <w:p w14:paraId="1574F04B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Affiliation: Faculty, Department of Interdisciplinary Studies, Himachal Pradesh University, Shimla, Himachal Pradesh, India</w:t>
      </w:r>
    </w:p>
    <w:p w14:paraId="3F97BE13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Corresponding Email: kuldeepsinghiihs@gmail.com | Phone: +91 7018431329</w:t>
      </w:r>
    </w:p>
    <w:p w14:paraId="7DBB6B49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6902FC29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ABSTRACT:</w:t>
      </w:r>
    </w:p>
    <w:p w14:paraId="00BE4BC2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We present RiskPulse, a software-verified research software architecture designed for multi-hazard disaster risk intelligence, evidence provenance tracking, and decision support in Himachal Pradesh, India. RiskPulse integrates local DEM terrain processing, Sentinel-2 spectral indices, multi-stream OSINT fusion, solver-neutral hydrodynamic adapters, and evidentiary briefing synthesis into a unified, traceable research environment. Crucially, RiskPulse enforces strict research-to-operational separation via a Controlled Promotion Gate. Within the audited software scope (348/348 tests passed GREEN, 0 Flutter analyzer errors), deterministic computational pathways and software contracts are fully verified. We document the uncalibrated global reference status of the Caine landslide threshold (I = 14.82 * D^-0.39) and Rational flood model (C=0.65), explicitly distinguishing software verification from empirical scientific validation.</w:t>
      </w:r>
    </w:p>
    <w:p w14:paraId="3321E4CD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349F19CE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KEYWORDS: Geomatics; Natural Hazards; Remote Sensing; Disaster Risk Intelligence; Evidence Provenance; Himachal Pradesh.</w:t>
      </w:r>
    </w:p>
    <w:p w14:paraId="64481C90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71383012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1. INTRODUCTION &amp; RESEARCH GAP</w:t>
      </w:r>
    </w:p>
    <w:p w14:paraId="34C717BF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Disaster risk management in high-relief mountain catchments requires synthesizing disparate hydrometeorological observations, satellite remote sensing, and crowd-sourced incident reports. In high-relief regions such as the Indian Himalayas, data fragmentation and unverified model parameters often compromise operational warnings. RiskPulse addresses this architectural challenge by coupling multi-source evidence acquisition with deterministic calculation engines, explicit provenance tracking, and a Controlled Promotion Gate.</w:t>
      </w:r>
    </w:p>
    <w:p w14:paraId="365A2764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4346B334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2. MATERIALS AND SYSTEM ARCHITECTURE</w:t>
      </w:r>
    </w:p>
    <w:p w14:paraId="15872124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2.1 Copernicus GLO-30 DEM Processing &amp; Hydrological Conditioning</w:t>
      </w:r>
    </w:p>
    <w:p w14:paraId="318966C5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Processing incorporates local 30m GeoTIFF rasters in EPSG:4326. D8 flow direction, Planchon-Darboux depression filling, Strahler/Shreve stream ordering, and watershed delineation operate deterministically in memory.</w:t>
      </w:r>
    </w:p>
    <w:p w14:paraId="31E12AEE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69561E13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2.2 Sentinel-2 Multispectral Processing</w:t>
      </w:r>
    </w:p>
    <w:p w14:paraId="7492C310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Bands B2, B3, B4, and B8 (10m spatial resolution) apply ESA L2A reflectance scaling (0.0001) to compute NDVI and NDWI with zero-denominator safeguards.</w:t>
      </w:r>
    </w:p>
    <w:p w14:paraId="17C4CB26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1CCBEF13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2.3 OSINT Multi-Stream Evidence Fusion</w:t>
      </w:r>
    </w:p>
    <w:p w14:paraId="3BDB753F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Multi-stream incident reports apply spatial proximity (&lt;100m) and Jaccard text similarity (&gt;0.80) for evidence corroboration.</w:t>
      </w:r>
    </w:p>
    <w:p w14:paraId="0FB9DE15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00A6E069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2.4 HydroAI Solver-Neutral Adapter</w:t>
      </w:r>
    </w:p>
    <w:p w14:paraId="2F699FC1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HydroAI couples terrain grids and hydrograph inputs to 2D hydrodynamic solvers. In the absence of native RasUnsteady64.exe, the engine executes via a software-verified simulated fallback mode (simulatedMock).</w:t>
      </w:r>
    </w:p>
    <w:p w14:paraId="00E00669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38955468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3. ANALYTICAL HAZARD MODELS &amp; DECISION SUPPORT</w:t>
      </w:r>
    </w:p>
    <w:p w14:paraId="02394ED7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3.1 Caine Landslide Threshold Model</w:t>
      </w:r>
    </w:p>
    <w:p w14:paraId="1FA37B6F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Global power-law relationship I = 14.82 * D^-0.39 (alpha = 14.82, beta = -0.39) is preserved as an uncalibrated global reference profile. Current project-defined calibration-readiness target is n_caine_target &gt;= 10 complete event pairs.</w:t>
      </w:r>
    </w:p>
    <w:p w14:paraId="2039C004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18287ADA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3.2 Rational Method Peak Discharge Model</w:t>
      </w:r>
    </w:p>
    <w:p w14:paraId="2828F441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Peak runoff Q = (C * i * A) / 3.6 applies an uncalibrated default runoff coefficient C = 0.65. Current project-defined hydrograph-readiness target is n_hydro_target &gt;= 5 continuous 15-minute event hydrographs.</w:t>
      </w:r>
    </w:p>
    <w:p w14:paraId="1C8FE83F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01A2DC5B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3.3 SAR 2D Inundation Validation Framework</w:t>
      </w:r>
    </w:p>
    <w:p w14:paraId="089A9B8E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Dual-polarization Sentinel-1 GRD backscatter thresholding (-14dB) and spatial confusion matrix calculation are software-verified; real SAR validation rasters (n_sar = 0) remain uningested.</w:t>
      </w:r>
    </w:p>
    <w:p w14:paraId="0C14B523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6CAE71CB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3.4 Relative Priority Decision Support Index</w:t>
      </w:r>
    </w:p>
    <w:p w14:paraId="43781CF7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Analytical briefing synthesis computes a relative priority rank (0.0 ... 1.0) based on weighted evidence inputs. The priority index represents relative analytical priority, NOT an event occurrence probability.</w:t>
      </w:r>
    </w:p>
    <w:p w14:paraId="6B4A6BC1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33B7CBF8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4. SOFTWARE VERIFICATION &amp; EVIDENCE RESULTS</w:t>
      </w:r>
    </w:p>
    <w:p w14:paraId="6A6D6722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All computational pathways passed 348/348 automated unit and integration tests. Five exploratory landslide events (Kotropi, Nigulsari, Batseri, Boh, Summer Hill) demonstrate a descriptive mean observed-to-reference ratio of 1.340 against the global Caine curve.</w:t>
      </w:r>
    </w:p>
    <w:p w14:paraId="4A9DD9A4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460D19D9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5. SCIENTIFIC LIMITATIONS &amp; FUTURE VALIDATION ROADMAP</w:t>
      </w:r>
    </w:p>
    <w:p w14:paraId="58FFE8F1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Model parameters remain uncalibrated for regional terrain. Empirical hold-out validation datasets (n_val = 0, n_hydro = 0, n_sar = 0) remain incomplete. Native HEC-RAS execution and live GEE tile streaming remain unverified. Sample-size targets (n_caine_target &gt;= 10, n_hydro_target &gt;= 5, n_val_target &gt;= 5) are project-defined workflow readiness targets, NOT universal scientific minimums.</w:t>
      </w:r>
    </w:p>
    <w:p w14:paraId="29E9B84D" w14:textId="77777777" w:rsidR="00771305" w:rsidRDefault="00771305">
      <w:pPr>
        <w:rPr>
          <w:rFonts w:ascii="Calibri" w:hAnsi="Calibri" w:cs="Calibri"/>
          <w:b/>
          <w:sz w:val="36"/>
        </w:rPr>
      </w:pPr>
    </w:p>
    <w:p w14:paraId="4C0B4F27" w14:textId="77777777" w:rsidR="00771305" w:rsidRDefault="0077130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6. DISCUSSION, ETHICS &amp; CONCLUSIONS</w:t>
      </w:r>
    </w:p>
    <w:p w14:paraId="4F311470" w14:textId="366C4FEB" w:rsidR="00771305" w:rsidRDefault="00771305">
      <w:pPr>
        <w:rPr>
          <w:rFonts w:ascii="Calibri" w:hAnsi="Calibri" w:cs="Calibri"/>
        </w:rPr>
      </w:pPr>
      <w:r w:rsidRPr="00771305">
        <w:rPr>
          <w:rFonts w:ascii="Calibri" w:hAnsi="Calibri" w:cs="Calibri"/>
        </w:rPr>
        <w:t>RiskPulse establishes a software-verified research software framework with transparent limitation disclosure and strict research-to-operational isolation enforced by a Controlled Promotion Gate.</w:t>
      </w:r>
    </w:p>
    <w:p w14:paraId="3D1583D4" w14:textId="77777777" w:rsidR="00771305" w:rsidRPr="00771305" w:rsidRDefault="00771305">
      <w:pPr>
        <w:rPr>
          <w:rFonts w:ascii="Calibri" w:hAnsi="Calibri" w:cs="Calibri"/>
        </w:rPr>
      </w:pPr>
    </w:p>
    <w:sectPr w:rsidR="00771305" w:rsidRPr="00771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05"/>
    <w:rsid w:val="000F73A0"/>
    <w:rsid w:val="002E6D58"/>
    <w:rsid w:val="00456736"/>
    <w:rsid w:val="00771305"/>
    <w:rsid w:val="0099694C"/>
    <w:rsid w:val="009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6CCF"/>
  <w15:chartTrackingRefBased/>
  <w15:docId w15:val="{9D4C1545-3220-4A8F-84CA-A0D62A497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2026-09-19T12:16:00Z</dcterms:created>
  <dcterms:modified xsi:type="dcterms:W3CDTF">2026-09-19T12:16:00Z</dcterms:modified>
</cp:coreProperties>
</file>