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473" w:rsidRDefault="00D66473">
      <w:pPr>
        <w:rPr>
          <w:rFonts w:ascii="Calibri" w:hAnsi="Calibri" w:cs="Calibri"/>
          <w:b/>
          <w:sz w:val="36"/>
        </w:rPr>
      </w:pPr>
      <w:r w:rsidRPr="00D66473">
        <w:rPr>
          <w:rFonts w:ascii="Calibri" w:hAnsi="Calibri" w:cs="Calibri"/>
          <w:b/>
          <w:sz w:val="36"/>
        </w:rPr>
        <w:t>TBL-01: System Architecture Layer Specifications</w:t>
      </w:r>
    </w:p>
    <w:p w:rsidR="00D66473" w:rsidRDefault="00D66473">
      <w:pPr>
        <w:rPr>
          <w:rFonts w:ascii="Calibri" w:hAnsi="Calibri" w:cs="Calibri"/>
        </w:rPr>
      </w:pPr>
      <w:r w:rsidRPr="00D66473">
        <w:rPr>
          <w:rFonts w:ascii="Calibri" w:hAnsi="Calibri" w:cs="Calibri"/>
        </w:rPr>
        <w:t>Layer 1: Evidence Layer | Layer 2: Quality &amp; Provenance Layer | Layer 3: Analytical Layer | Layer 4: Decision Support Layer | Layer 5: Controlled Promotion Governance Layer</w:t>
      </w:r>
    </w:p>
    <w:p w:rsidR="00D66473" w:rsidRPr="00D66473" w:rsidRDefault="00D66473">
      <w:pPr>
        <w:rPr>
          <w:rFonts w:ascii="Calibri" w:hAnsi="Calibri" w:cs="Calibri"/>
        </w:rPr>
      </w:pPr>
    </w:p>
    <w:sectPr w:rsidR="00D66473" w:rsidRPr="00D66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73"/>
    <w:rsid w:val="000F73A0"/>
    <w:rsid w:val="002E6D58"/>
    <w:rsid w:val="00456736"/>
    <w:rsid w:val="0099694C"/>
    <w:rsid w:val="009A12A8"/>
    <w:rsid w:val="00D6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96213-2483-4649-AC3D-733C6B9D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