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76F3" w:rsidRDefault="000576F3">
      <w:pPr>
        <w:rPr>
          <w:rFonts w:ascii="Calibri" w:hAnsi="Calibri" w:cs="Calibri"/>
          <w:b/>
          <w:sz w:val="36"/>
        </w:rPr>
      </w:pPr>
      <w:r w:rsidRPr="000576F3">
        <w:rPr>
          <w:rFonts w:ascii="Calibri" w:hAnsi="Calibri" w:cs="Calibri"/>
          <w:b/>
          <w:sz w:val="36"/>
        </w:rPr>
        <w:t>TBL-02: Multi-Hazard Analytical Model Cards</w:t>
      </w:r>
    </w:p>
    <w:p w:rsidR="000576F3" w:rsidRDefault="000576F3">
      <w:pPr>
        <w:rPr>
          <w:rFonts w:ascii="Calibri" w:hAnsi="Calibri" w:cs="Calibri"/>
        </w:rPr>
      </w:pPr>
      <w:r w:rsidRPr="000576F3">
        <w:rPr>
          <w:rFonts w:ascii="Calibri" w:hAnsi="Calibri" w:cs="Calibri"/>
        </w:rPr>
        <w:t>Caine Model: alpha=14.82, beta=-0.39 (Uncalibrated) | Rational Flood Model: C=0.65 (Uncalibrated) | HydroAI Adapter: simulatedMock (Native Unverified)</w:t>
      </w:r>
    </w:p>
    <w:p w:rsidR="000576F3" w:rsidRPr="000576F3" w:rsidRDefault="000576F3">
      <w:pPr>
        <w:rPr>
          <w:rFonts w:ascii="Calibri" w:hAnsi="Calibri" w:cs="Calibri"/>
        </w:rPr>
      </w:pPr>
    </w:p>
    <w:sectPr w:rsidR="000576F3" w:rsidRPr="00057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F3"/>
    <w:rsid w:val="000576F3"/>
    <w:rsid w:val="000F73A0"/>
    <w:rsid w:val="002E6D58"/>
    <w:rsid w:val="00456736"/>
    <w:rsid w:val="0099694C"/>
    <w:rsid w:val="009A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07A0F-2B73-4BD6-A89E-B684D8CA9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