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DigiThex - Documentación Técnica (Módulo 9 en adelante)</w:t>
      </w:r>
    </w:p>
    <w:p>
      <w:pPr>
        <w:pStyle w:val="Heading2"/>
      </w:pPr>
      <w:r>
        <w:t>9. Módulo Rentas</w:t>
      </w:r>
    </w:p>
    <w:p>
      <w:r>
        <w:t>Núcleo del sistema. Flujo: cliente, dumpster, camión, material, ubicación, mapa Leaflet/OpenStreetMap, geocodificación Nominatim, edición manual de dirección, almacenamiento de latitud/longitud, cálculo financiero, pagos, recibo PDF, reimpresión y futuro envío por correo.</w:t>
      </w:r>
    </w:p>
    <w:p>
      <w:pPr>
        <w:pStyle w:val="Heading2"/>
      </w:pPr>
      <w:r>
        <w:t>Tablas</w:t>
      </w:r>
    </w:p>
    <w:p>
      <w:r>
        <w:t>tb_rentas, tb_renta_finanzas, tb_renta_extras, tb_renta_pagos, tb_impuestos, tb_empresa_configuracion. Se documenta la responsabilidad de cada una y su relación lógica.</w:t>
      </w:r>
    </w:p>
    <w:p>
      <w:pPr>
        <w:pStyle w:val="Heading2"/>
      </w:pPr>
      <w:r>
        <w:t>10. Mapa</w:t>
      </w:r>
    </w:p>
    <w:p>
      <w:r>
        <w:t>Selección mediante clic, marcador movible, reverse geocoding, búsqueda por dirección, confirmación y edición manual. Se guardan dirección, latitud y longitud.</w:t>
      </w:r>
    </w:p>
    <w:p>
      <w:pPr>
        <w:pStyle w:val="Heading2"/>
      </w:pPr>
      <w:r>
        <w:t>11. Finanzas</w:t>
      </w:r>
    </w:p>
    <w:p>
      <w:r>
        <w:t>Separación de lógica financiera: subtotal, extras, impuestos, total, pagos y saldo pendiente.</w:t>
      </w:r>
    </w:p>
    <w:p>
      <w:pPr>
        <w:pStyle w:val="Heading2"/>
      </w:pPr>
      <w:r>
        <w:t>12. Impuestos</w:t>
      </w:r>
    </w:p>
    <w:p>
      <w:r>
        <w:t>Migración a tb_impuestos por empresa. Administración desde Company Settings sin modificar código.</w:t>
      </w:r>
    </w:p>
    <w:p>
      <w:pPr>
        <w:pStyle w:val="Heading2"/>
      </w:pPr>
      <w:r>
        <w:t>13. Company Settings</w:t>
      </w:r>
    </w:p>
    <w:p>
      <w:r>
        <w:t>Configuración centralizada: datos comerciales, branding, QR, receipt, rental agreement, idioma, impuestos y SMTP.</w:t>
      </w:r>
    </w:p>
    <w:p>
      <w:pPr>
        <w:pStyle w:val="Heading2"/>
      </w:pPr>
      <w:r>
        <w:t>14. Recibo PDF</w:t>
      </w:r>
    </w:p>
    <w:p>
      <w:r>
        <w:t>Rediseño profesional con QR, header compacto, resumen financiero, extras, pagos, footer configurable, términos dinámicos, firmas e idiomas ES/EN.</w:t>
      </w:r>
    </w:p>
    <w:p>
      <w:pPr>
        <w:pStyle w:val="Heading2"/>
      </w:pPr>
      <w:r>
        <w:t>15. SMTP</w:t>
      </w:r>
    </w:p>
    <w:p>
      <w:r>
        <w:t>Configuración por empresa: smtp_host, smtp_port, smtp_secure, smtp_user, smtp_password, smtp_from_name y smtp_reply_to. Test Connection y envío de recibos.</w:t>
      </w:r>
    </w:p>
    <w:p>
      <w:pPr>
        <w:pStyle w:val="Heading2"/>
      </w:pPr>
      <w:r>
        <w:t>16. Despliegue</w:t>
      </w:r>
    </w:p>
    <w:p>
      <w:r>
        <w:t>Frontend en app.domthex.com, backend en api.domthex.com. Pendiente resolver conexión MySQL y SMTP en producción.</w:t>
      </w:r>
    </w:p>
    <w:p>
      <w:pPr>
        <w:pStyle w:val="Heading2"/>
      </w:pPr>
      <w:r>
        <w:t>17. Próximos pasos</w:t>
      </w:r>
    </w:p>
    <w:p>
      <w:r>
        <w:t>Finalizar despliegue, correo, facturación, dashboard, reportes, agenda, portal clientes y optimización de rutas.</w:t>
      </w:r>
    </w:p>
    <w:p>
      <w:pPr>
        <w:pStyle w:val="Heading2"/>
      </w:pPr>
      <w:r>
        <w:t>Observación</w:t>
      </w:r>
    </w:p>
    <w:p>
      <w:r>
        <w:t>Este documento es un complemento de la documentación maestra. La recomendación es elaborar un manual técnico completo de aproximadamente 200 páginas con tablas campo por campo, arquitectura, diagramas, flujo de módulos y bitácora de desarrollo.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