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4A3FC7"/>
          <w:sz w:val="56"/>
          <w:szCs w:val="56"/>
        </w:rPr>
        <w:t xml:space="preserve">VirtualOffice AI</w:t>
      </w:r>
    </w:p>
    <w:p>
      <w:pPr>
        <w:spacing w:after="200" w:before="0"/>
        <w:jc w:val="center"/>
      </w:pPr>
      <w:r>
        <w:rPr>
          <w:rFonts w:ascii="Arial" w:cs="Arial" w:eastAsia="Arial" w:hAnsi="Arial"/>
          <w:color w:val="5F5E5A"/>
          <w:sz w:val="32"/>
          <w:szCs w:val="32"/>
        </w:rPr>
        <w:t xml:space="preserve">System Architecture</w:t>
      </w:r>
    </w:p>
    <w:p>
      <w:pPr>
        <w:pBdr>
          <w:bottom w:val="single" w:color="DDD9F3" w:sz="6" w:space="1"/>
        </w:pBdr>
        <w:spacing w:after="400" w:before="0"/>
        <w:jc w:val="center"/>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1A1A1A"/>
          <w:sz w:val="22"/>
          <w:szCs w:val="22"/>
        </w:rPr>
        <w:t xml:space="preserve">Version 2 — consolidated and complete</w:t>
      </w:r>
    </w:p>
    <w:p>
      <w:pPr>
        <w:spacing w:after="80" w:before="0"/>
        <w:jc w:val="center"/>
      </w:pPr>
      <w:r>
        <w:rPr>
          <w:rFonts w:ascii="Arial" w:cs="Arial" w:eastAsia="Arial" w:hAnsi="Arial"/>
          <w:color w:val="5F5E5A"/>
          <w:sz w:val="18"/>
          <w:szCs w:val="18"/>
        </w:rPr>
        <w:t xml:space="preserve">Implementation reference for the engineering team</w:t>
      </w:r>
    </w:p>
    <w:p>
      <w:pPr>
        <w:spacing w:after="80" w:before="0"/>
        <w:jc w:val="center"/>
      </w:pPr>
      <w:r>
        <w:rPr>
          <w:rFonts w:ascii="Arial" w:cs="Arial" w:eastAsia="Arial" w:hAnsi="Arial"/>
          <w:color w:val="5F5E5A"/>
          <w:sz w:val="18"/>
          <w:szCs w:val="18"/>
        </w:rPr>
        <w:t xml:space="preserve">Companion to the Strategic Vision (v4) and Platform Specification (v2)</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color w:val="5F5E5A"/>
          <w:sz w:val="18"/>
          <w:szCs w:val="18"/>
        </w:rPr>
        <w:t xml:space="preserve">May 2026</w:t>
      </w:r>
    </w:p>
    <w:p>
      <w:pPr>
        <w:spacing w:after="60" w:before="0"/>
        <w:jc w:val="center"/>
      </w:pPr>
      <w:r>
        <w:rPr>
          <w:rFonts w:ascii="Arial" w:cs="Arial" w:eastAsia="Arial" w:hAnsi="Arial"/>
          <w:color w:val="5F5E5A"/>
          <w:sz w:val="18"/>
          <w:szCs w:val="18"/>
        </w:rPr>
        <w:t xml:space="preserve">Confidential</w:t>
      </w:r>
    </w:p>
    <w:p>
      <w:pPr>
        <w:pStyle w:val="Heading1"/>
        <w:spacing w:after="200" w:before="480"/>
      </w:pPr>
      <w:r>
        <w:rPr>
          <w:rFonts w:ascii="Arial" w:cs="Arial" w:eastAsia="Arial" w:hAnsi="Arial"/>
          <w:b/>
          <w:bCs/>
          <w:color w:val="4A3FC7"/>
          <w:sz w:val="36"/>
          <w:szCs w:val="36"/>
        </w:rPr>
        <w:t xml:space="preserve">Version Note</w:t>
      </w:r>
    </w:p>
    <w:p>
      <w:pPr>
        <w:spacing w:after="120" w:before="80" w:line="320"/>
      </w:pPr>
      <w:r>
        <w:rPr>
          <w:rFonts w:ascii="Arial" w:cs="Arial" w:eastAsia="Arial" w:hAnsi="Arial"/>
          <w:color w:val="1A1A1A"/>
          <w:sz w:val="22"/>
          <w:szCs w:val="22"/>
        </w:rPr>
        <w:t xml:space="preserve">This is version 2 of the System Architecture, consolidated as a complete standalone document. Earlier versions are superseded — this document is now the single architectural reference.</w:t>
      </w:r>
    </w:p>
    <w:p>
      <w:pPr>
        <w:spacing w:after="120" w:before="80" w:line="320"/>
      </w:pPr>
      <w:r>
        <w:rPr>
          <w:rFonts w:ascii="Arial" w:cs="Arial" w:eastAsia="Arial" w:hAnsi="Arial"/>
          <w:color w:val="1A1A1A"/>
          <w:sz w:val="22"/>
          <w:szCs w:val="22"/>
        </w:rPr>
        <w:t xml:space="preserve">Changes from v1 to v2 are integrated inline throughout this document. The substantive additions are:</w:t>
      </w:r>
    </w:p>
    <w:p>
      <w:pPr>
        <w:pStyle w:val="ListParagraph"/>
        <w:numPr>
          <w:ilvl w:val="0"/>
          <w:numId w:val="2"/>
        </w:numPr>
        <w:spacing w:after="60" w:before="60" w:line="300"/>
      </w:pPr>
      <w:r>
        <w:rPr>
          <w:rFonts w:ascii="Arial" w:cs="Arial" w:eastAsia="Arial" w:hAnsi="Arial"/>
          <w:color w:val="1A1A1A"/>
          <w:sz w:val="22"/>
          <w:szCs w:val="22"/>
        </w:rPr>
        <w:t xml:space="preserve">The Admin Console is now an 11th major component, sized appropriately for a small ops team at v1 with capacity for v2 growth. See section 3.1 (component list) and section 9 (Admin Console Architecture).</w:t>
      </w:r>
    </w:p>
    <w:p>
      <w:pPr>
        <w:pStyle w:val="ListParagraph"/>
        <w:numPr>
          <w:ilvl w:val="0"/>
          <w:numId w:val="2"/>
        </w:numPr>
        <w:spacing w:after="60" w:before="60" w:line="300"/>
      </w:pPr>
      <w:r>
        <w:rPr>
          <w:rFonts w:ascii="Arial" w:cs="Arial" w:eastAsia="Arial" w:hAnsi="Arial"/>
          <w:color w:val="1A1A1A"/>
          <w:sz w:val="22"/>
          <w:szCs w:val="22"/>
        </w:rPr>
        <w:t xml:space="preserve">The Marketplace Metering Service is added to track agent and expert usage for billing, quality monitoring, and economics enforcement. See section 3.1 and section 4.3.6 (marketplace tables).</w:t>
      </w:r>
    </w:p>
    <w:p>
      <w:pPr>
        <w:pStyle w:val="ListParagraph"/>
        <w:numPr>
          <w:ilvl w:val="0"/>
          <w:numId w:val="2"/>
        </w:numPr>
        <w:spacing w:after="60" w:before="60" w:line="300"/>
      </w:pPr>
      <w:r>
        <w:rPr>
          <w:rFonts w:ascii="Arial" w:cs="Arial" w:eastAsia="Arial" w:hAnsi="Arial"/>
          <w:color w:val="1A1A1A"/>
          <w:sz w:val="22"/>
          <w:szCs w:val="22"/>
        </w:rPr>
        <w:t xml:space="preserve">The marketplace is architected as three layers (default roster agents holding context, marketplace specialists with scoped transient context, human experts) with explicit specialist invocation patterns. See section 6 (Marketplace Architecture).</w:t>
      </w:r>
    </w:p>
    <w:p>
      <w:pPr>
        <w:pStyle w:val="ListParagraph"/>
        <w:numPr>
          <w:ilvl w:val="0"/>
          <w:numId w:val="2"/>
        </w:numPr>
        <w:spacing w:after="60" w:before="60" w:line="300"/>
      </w:pPr>
      <w:r>
        <w:rPr>
          <w:rFonts w:ascii="Arial" w:cs="Arial" w:eastAsia="Arial" w:hAnsi="Arial"/>
          <w:color w:val="1A1A1A"/>
          <w:sz w:val="22"/>
          <w:szCs w:val="22"/>
        </w:rPr>
        <w:t xml:space="preserve">Action lifecycle in the ledger is expanded with seven v1 states — Pending, In Progress, Completed, Cancelled, Blocked, Snoozed, Delegated_to_expert. See section 4.3.3 (the ledger schema).</w:t>
      </w:r>
    </w:p>
    <w:p>
      <w:pPr>
        <w:pStyle w:val="ListParagraph"/>
        <w:numPr>
          <w:ilvl w:val="0"/>
          <w:numId w:val="2"/>
        </w:numPr>
        <w:spacing w:after="60" w:before="60" w:line="300"/>
      </w:pPr>
      <w:r>
        <w:rPr>
          <w:rFonts w:ascii="Arial" w:cs="Arial" w:eastAsia="Arial" w:hAnsi="Arial"/>
          <w:color w:val="1A1A1A"/>
          <w:sz w:val="22"/>
          <w:szCs w:val="22"/>
        </w:rPr>
        <w:t xml:space="preserve">The build sequence is expanded from six phases to eight phases, with Admin Console build and a Hardening and Launch Prep phase added. See section 11 (Build Sequence).</w:t>
      </w:r>
    </w:p>
    <w:p>
      <w:pPr>
        <w:pStyle w:val="ListParagraph"/>
        <w:numPr>
          <w:ilvl w:val="0"/>
          <w:numId w:val="2"/>
        </w:numPr>
        <w:spacing w:after="60" w:before="60" w:line="300"/>
      </w:pPr>
      <w:r>
        <w:rPr>
          <w:rFonts w:ascii="Arial" w:cs="Arial" w:eastAsia="Arial" w:hAnsi="Arial"/>
          <w:color w:val="1A1A1A"/>
          <w:sz w:val="22"/>
          <w:szCs w:val="22"/>
        </w:rPr>
        <w:t xml:space="preserve">Closed-network human expert architecture for v1 is specified, with public application architecture deferred to v2. See section 6.4.</w:t>
      </w:r>
    </w:p>
    <w:p>
      <w:pPr>
        <w:pStyle w:val="ListParagraph"/>
        <w:numPr>
          <w:ilvl w:val="0"/>
          <w:numId w:val="2"/>
        </w:numPr>
        <w:spacing w:after="60" w:before="60" w:line="300"/>
      </w:pPr>
      <w:r>
        <w:rPr>
          <w:rFonts w:ascii="Arial" w:cs="Arial" w:eastAsia="Arial" w:hAnsi="Arial"/>
          <w:color w:val="1A1A1A"/>
          <w:sz w:val="22"/>
          <w:szCs w:val="22"/>
        </w:rPr>
        <w:t xml:space="preserve">Multi-dimensional rating system unified across agents and experts. See section 6.5.</w:t>
      </w:r>
    </w:p>
    <w:p>
      <w:pPr>
        <w:spacing w:after="120" w:before="80" w:line="320"/>
      </w:pPr>
      <w:r>
        <w:rPr>
          <w:rFonts w:ascii="Arial" w:cs="Arial" w:eastAsia="Arial" w:hAnsi="Arial"/>
          <w:color w:val="1A1A1A"/>
          <w:sz w:val="22"/>
          <w:szCs w:val="22"/>
        </w:rPr>
        <w:t xml:space="preserve">All v1 architectural decisions remain in force unless explicitly superseded. Where v2 adds detail, the addition is integrated inline. Where v2 changes a v1 decision, the change is marked.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 Purpose and Reading Guide</w:t>
      </w:r>
    </w:p>
    <w:p>
      <w:pPr>
        <w:spacing w:after="120" w:before="80" w:line="320"/>
      </w:pPr>
      <w:r>
        <w:rPr>
          <w:rFonts w:ascii="Arial" w:cs="Arial" w:eastAsia="Arial" w:hAnsi="Arial"/>
          <w:color w:val="1A1A1A"/>
          <w:sz w:val="22"/>
          <w:szCs w:val="22"/>
        </w:rPr>
        <w:t xml:space="preserve">This document is the system architecture for VirtualOffice AI. It is the reference an engineering team uses to start building. It is the document a senior hire reads to understand how the system fits together. It is the document a CTO of an acquirer would read to evaluate the platform.</w:t>
      </w:r>
    </w:p>
    <w:p>
      <w:pPr>
        <w:spacing w:after="120" w:before="80" w:line="320"/>
      </w:pPr>
      <w:r>
        <w:rPr>
          <w:rFonts w:ascii="Arial" w:cs="Arial" w:eastAsia="Arial" w:hAnsi="Arial"/>
          <w:color w:val="1A1A1A"/>
          <w:sz w:val="22"/>
          <w:szCs w:val="22"/>
        </w:rPr>
        <w:t xml:space="preserve">The architecture is presented in seven layers, each addressing a distinct dimension of the system. Layers build on one another: the system context establishes boundaries, the component architecture shows the pieces inside the boundary, the data architecture shows what those pieces hold, the meeting pipeline shows how the time-critical path works, the agent runtime shows how digital agents are built, the routing and learning layers show how the system improves itself, and the cross-cutting concerns show how privacy, security, and observability are woven through every layer.</w:t>
      </w:r>
    </w:p>
    <w:p>
      <w:pPr>
        <w:spacing w:after="120" w:before="80" w:line="320"/>
      </w:pPr>
      <w:r>
        <w:rPr>
          <w:rFonts w:ascii="Arial" w:cs="Arial" w:eastAsia="Arial" w:hAnsi="Arial"/>
          <w:color w:val="1A1A1A"/>
          <w:sz w:val="22"/>
          <w:szCs w:val="22"/>
        </w:rPr>
        <w:t xml:space="preserve">The architecture targets the v1 build. It anticipates evolution — the multilingual coverage, the marketplace, the agent catalogue, the regional expansion all grow over time — but it does not pre-commit to architectural complexity for capabilities that are not yet validated by usage. Where the v1 design might need to change at scale, those evolution points are named explicitly.</w:t>
      </w:r>
    </w:p>
    <w:p>
      <w:pPr>
        <w:pStyle w:val="Heading1"/>
        <w:spacing w:after="200" w:before="480"/>
      </w:pPr>
      <w:r>
        <w:rPr>
          <w:rFonts w:ascii="Arial" w:cs="Arial" w:eastAsia="Arial" w:hAnsi="Arial"/>
          <w:b/>
          <w:bCs/>
          <w:color w:val="4A3FC7"/>
          <w:sz w:val="36"/>
          <w:szCs w:val="36"/>
        </w:rPr>
        <w:t xml:space="preserve">2. Layer 1 — System Context and Boundaries</w:t>
      </w:r>
    </w:p>
    <w:p>
      <w:pPr>
        <w:spacing w:after="120" w:before="80" w:line="320"/>
      </w:pPr>
      <w:r>
        <w:rPr>
          <w:rFonts w:ascii="Arial" w:cs="Arial" w:eastAsia="Arial" w:hAnsi="Arial"/>
          <w:color w:val="1A1A1A"/>
          <w:sz w:val="22"/>
          <w:szCs w:val="22"/>
        </w:rPr>
        <w:t xml:space="preserve">The first layer establishes what is inside the VirtualOffice AI system, what is outside, and which actors interact across the boundary. This layer is intentionally simple. Its job is to anchor every subsequent layer in a shared understanding of the system’s edges.</w:t>
      </w:r>
    </w:p>
    <w:p>
      <w:pPr>
        <w:pStyle w:val="Heading2"/>
        <w:spacing w:after="140" w:before="360"/>
      </w:pPr>
      <w:r>
        <w:rPr>
          <w:rFonts w:ascii="Arial" w:cs="Arial" w:eastAsia="Arial" w:hAnsi="Arial"/>
          <w:b/>
          <w:bCs/>
          <w:color w:val="1A1A1A"/>
          <w:sz w:val="28"/>
          <w:szCs w:val="28"/>
        </w:rPr>
        <w:t xml:space="preserve">2.1 Actors</w:t>
      </w:r>
    </w:p>
    <w:p>
      <w:pPr>
        <w:spacing w:after="120" w:before="80" w:line="320"/>
      </w:pPr>
      <w:r>
        <w:rPr>
          <w:rFonts w:ascii="Arial" w:cs="Arial" w:eastAsia="Arial" w:hAnsi="Arial"/>
          <w:color w:val="1A1A1A"/>
          <w:sz w:val="22"/>
          <w:szCs w:val="22"/>
        </w:rPr>
        <w:t xml:space="preserve">Five actor types interact with the platform:</w:t>
      </w:r>
    </w:p>
    <w:p>
      <w:pPr>
        <w:pStyle w:val="Heading2"/>
        <w:spacing w:after="140" w:before="360"/>
      </w:pPr>
      <w:r>
        <w:rPr>
          <w:rFonts w:ascii="Arial" w:cs="Arial" w:eastAsia="Arial" w:hAnsi="Arial"/>
          <w:b/>
          <w:bCs/>
          <w:color w:val="1A1A1A"/>
          <w:sz w:val="28"/>
          <w:szCs w:val="28"/>
        </w:rPr>
        <w:t xml:space="preserve">2.2 External systems</w:t>
      </w:r>
    </w:p>
    <w:p>
      <w:pPr>
        <w:spacing w:after="120" w:before="80" w:line="320"/>
      </w:pPr>
      <w:r>
        <w:rPr>
          <w:rFonts w:ascii="Arial" w:cs="Arial" w:eastAsia="Arial" w:hAnsi="Arial"/>
          <w:color w:val="1A1A1A"/>
          <w:sz w:val="22"/>
          <w:szCs w:val="22"/>
        </w:rPr>
        <w:t xml:space="preserve">The platform integrates with a curated set of external systems. Each integration is a deliberate dependency that crosses the system boundary; each adds operational responsibility, security exposure, and cost. Integrations are not added casually.</w:t>
      </w:r>
    </w:p>
    <w:p>
      <w:pPr>
        <w:pStyle w:val="Heading3"/>
        <w:spacing w:after="100" w:before="280"/>
      </w:pPr>
      <w:r>
        <w:rPr>
          <w:rFonts w:ascii="Arial" w:cs="Arial" w:eastAsia="Arial" w:hAnsi="Arial"/>
          <w:b/>
          <w:bCs/>
          <w:color w:val="1A1A1A"/>
          <w:sz w:val="23"/>
          <w:szCs w:val="23"/>
        </w:rPr>
        <w:t xml:space="preserve">2.2.1 LLM and AI inference providers</w:t>
      </w:r>
    </w:p>
    <w:p>
      <w:pPr>
        <w:spacing w:after="120" w:before="80" w:line="320"/>
      </w:pPr>
      <w:r>
        <w:rPr>
          <w:rFonts w:ascii="Arial" w:cs="Arial" w:eastAsia="Arial" w:hAnsi="Arial"/>
          <w:color w:val="1A1A1A"/>
          <w:sz w:val="22"/>
          <w:szCs w:val="22"/>
        </w:rPr>
        <w:t xml:space="preserve">Five to seven major LLM providers (Anthropic, OpenAI, Google, xAI, Moonshot, DeepSeek, Mistral as the candidate set), accessed through their respective APIs. Open-weight models accessed through managed inference providers (Together, Fireworks, Replicate, Groq). Speech-to-text providers (Deepgram and Whisper-class hosted services initially; Sarvam and AI4Bharat for Indic languages). Text-to-speech providers (ElevenLabs, Cartesia, native provider TTS, Sarvam for Indic).</w:t>
      </w:r>
    </w:p>
    <w:p>
      <w:pPr>
        <w:pStyle w:val="Heading3"/>
        <w:spacing w:after="100" w:before="280"/>
      </w:pPr>
      <w:r>
        <w:rPr>
          <w:rFonts w:ascii="Arial" w:cs="Arial" w:eastAsia="Arial" w:hAnsi="Arial"/>
          <w:b/>
          <w:bCs/>
          <w:color w:val="1A1A1A"/>
          <w:sz w:val="23"/>
          <w:szCs w:val="23"/>
        </w:rPr>
        <w:t xml:space="preserve">2.2.2 Real-time media infrastructure</w:t>
      </w:r>
    </w:p>
    <w:p>
      <w:pPr>
        <w:spacing w:after="120" w:before="80" w:line="320"/>
      </w:pPr>
      <w:r>
        <w:rPr>
          <w:rFonts w:ascii="Arial" w:cs="Arial" w:eastAsia="Arial" w:hAnsi="Arial"/>
          <w:color w:val="1A1A1A"/>
          <w:sz w:val="22"/>
          <w:szCs w:val="22"/>
        </w:rPr>
        <w:t xml:space="preserve">A managed WebRTC infrastructure provider (LiveKit Cloud or Daily — final selection at build start). The provider supplies SFU, native SDKs for browser/iOS/Android, recording, and signalling. The vendor is invisible to users — no co-branding, no separate sign-up.</w:t>
      </w:r>
    </w:p>
    <w:p>
      <w:pPr>
        <w:pStyle w:val="Heading3"/>
        <w:spacing w:after="100" w:before="280"/>
      </w:pPr>
      <w:r>
        <w:rPr>
          <w:rFonts w:ascii="Arial" w:cs="Arial" w:eastAsia="Arial" w:hAnsi="Arial"/>
          <w:b/>
          <w:bCs/>
          <w:color w:val="1A1A1A"/>
          <w:sz w:val="23"/>
          <w:szCs w:val="23"/>
        </w:rPr>
        <w:t xml:space="preserve">2.2.3 Cloud platform</w:t>
      </w:r>
    </w:p>
    <w:p>
      <w:pPr>
        <w:spacing w:after="120" w:before="80" w:line="320"/>
      </w:pPr>
      <w:r>
        <w:rPr>
          <w:rFonts w:ascii="Arial" w:cs="Arial" w:eastAsia="Arial" w:hAnsi="Arial"/>
          <w:color w:val="1A1A1A"/>
          <w:sz w:val="22"/>
          <w:szCs w:val="22"/>
        </w:rPr>
        <w:t xml:space="preserve">Single cloud provider (AWS or GCP — confirmed at build start), single region for v1. Managed services: Postgres (RDS or Cloud SQL), Redis (ElastiCache or Memorystore), object storage (S3 or GCS), message queue (SQS or Pub/Sub), container runtime (ECS or Cloud Run), secrets management, identity, observability stack.</w:t>
      </w:r>
    </w:p>
    <w:p>
      <w:pPr>
        <w:pStyle w:val="Heading3"/>
        <w:spacing w:after="100" w:before="280"/>
      </w:pPr>
      <w:r>
        <w:rPr>
          <w:rFonts w:ascii="Arial" w:cs="Arial" w:eastAsia="Arial" w:hAnsi="Arial"/>
          <w:b/>
          <w:bCs/>
          <w:color w:val="1A1A1A"/>
          <w:sz w:val="23"/>
          <w:szCs w:val="23"/>
        </w:rPr>
        <w:t xml:space="preserve">2.2.4 Vector and graph databases</w:t>
      </w:r>
    </w:p>
    <w:p>
      <w:pPr>
        <w:spacing w:after="120" w:before="80" w:line="320"/>
      </w:pPr>
      <w:r>
        <w:rPr>
          <w:rFonts w:ascii="Arial" w:cs="Arial" w:eastAsia="Arial" w:hAnsi="Arial"/>
          <w:color w:val="1A1A1A"/>
          <w:sz w:val="22"/>
          <w:szCs w:val="22"/>
        </w:rPr>
        <w:t xml:space="preserve">Managed vector database (Pinecone, Weaviate Cloud, or Postgres pgvector for v1 simplicity). Managed graph database (Neo4j AuraDB) for the relationship layer of the brain.</w:t>
      </w:r>
    </w:p>
    <w:p>
      <w:pPr>
        <w:pStyle w:val="Heading3"/>
        <w:spacing w:after="100" w:before="280"/>
      </w:pPr>
      <w:r>
        <w:rPr>
          <w:rFonts w:ascii="Arial" w:cs="Arial" w:eastAsia="Arial" w:hAnsi="Arial"/>
          <w:b/>
          <w:bCs/>
          <w:color w:val="1A1A1A"/>
          <w:sz w:val="23"/>
          <w:szCs w:val="23"/>
        </w:rPr>
        <w:t xml:space="preserve">2.2.5 Identity and authentication</w:t>
      </w:r>
    </w:p>
    <w:p>
      <w:pPr>
        <w:spacing w:after="120" w:before="80" w:line="320"/>
      </w:pPr>
      <w:r>
        <w:rPr>
          <w:rFonts w:ascii="Arial" w:cs="Arial" w:eastAsia="Arial" w:hAnsi="Arial"/>
          <w:color w:val="1A1A1A"/>
          <w:sz w:val="22"/>
          <w:szCs w:val="22"/>
        </w:rPr>
        <w:t xml:space="preserve">OAuth providers (Google, Microsoft, Apple) for founder and team member sign-in. Magic-link email for founders without OAuth identity. Guest joins do not authenticate but record consent.</w:t>
      </w:r>
    </w:p>
    <w:p>
      <w:pPr>
        <w:pStyle w:val="Heading3"/>
        <w:spacing w:after="100" w:before="280"/>
      </w:pPr>
      <w:r>
        <w:rPr>
          <w:rFonts w:ascii="Arial" w:cs="Arial" w:eastAsia="Arial" w:hAnsi="Arial"/>
          <w:b/>
          <w:bCs/>
          <w:color w:val="1A1A1A"/>
          <w:sz w:val="23"/>
          <w:szCs w:val="23"/>
        </w:rPr>
        <w:t xml:space="preserve">2.2.6 Payments and billing</w:t>
      </w:r>
    </w:p>
    <w:p>
      <w:pPr>
        <w:spacing w:after="120" w:before="80" w:line="320"/>
      </w:pPr>
      <w:r>
        <w:rPr>
          <w:rFonts w:ascii="Arial" w:cs="Arial" w:eastAsia="Arial" w:hAnsi="Arial"/>
          <w:color w:val="1A1A1A"/>
          <w:sz w:val="22"/>
          <w:szCs w:val="22"/>
        </w:rPr>
        <w:t xml:space="preserve">Stripe for subscription billing in primary markets. Razorpay for India-specific payments. Multi-currency support handled by the payment provider. Marketplace payouts to human experts handled by Stripe Connect or equivalent.</w:t>
      </w:r>
    </w:p>
    <w:p>
      <w:pPr>
        <w:pStyle w:val="Heading3"/>
        <w:spacing w:after="100" w:before="280"/>
      </w:pPr>
      <w:r>
        <w:rPr>
          <w:rFonts w:ascii="Arial" w:cs="Arial" w:eastAsia="Arial" w:hAnsi="Arial"/>
          <w:b/>
          <w:bCs/>
          <w:color w:val="1A1A1A"/>
          <w:sz w:val="23"/>
          <w:szCs w:val="23"/>
        </w:rPr>
        <w:t xml:space="preserve">2.2.7 Observability and operations</w:t>
      </w:r>
    </w:p>
    <w:p>
      <w:pPr>
        <w:spacing w:after="120" w:before="80" w:line="320"/>
      </w:pPr>
      <w:r>
        <w:rPr>
          <w:rFonts w:ascii="Arial" w:cs="Arial" w:eastAsia="Arial" w:hAnsi="Arial"/>
          <w:color w:val="1A1A1A"/>
          <w:sz w:val="22"/>
          <w:szCs w:val="22"/>
        </w:rPr>
        <w:t xml:space="preserve">Datadog or Grafana Cloud for metrics, logs, and traces. Sentry for error tracking. PagerDuty or Opsgenie for on-call. Statsig or LaunchDarkly for feature flags. CI/CD through GitHub Actions; infrastructure as code through Terraform or Pulumi.</w:t>
      </w:r>
    </w:p>
    <w:p>
      <w:pPr>
        <w:pStyle w:val="Heading3"/>
        <w:spacing w:after="100" w:before="280"/>
      </w:pPr>
      <w:r>
        <w:rPr>
          <w:rFonts w:ascii="Arial" w:cs="Arial" w:eastAsia="Arial" w:hAnsi="Arial"/>
          <w:b/>
          <w:bCs/>
          <w:color w:val="1A1A1A"/>
          <w:sz w:val="23"/>
          <w:szCs w:val="23"/>
        </w:rPr>
        <w:t xml:space="preserve">2.2.8 Email, push, and notifications</w:t>
      </w:r>
    </w:p>
    <w:p>
      <w:pPr>
        <w:spacing w:after="120" w:before="80" w:line="320"/>
      </w:pPr>
      <w:r>
        <w:rPr>
          <w:rFonts w:ascii="Arial" w:cs="Arial" w:eastAsia="Arial" w:hAnsi="Arial"/>
          <w:color w:val="1A1A1A"/>
          <w:sz w:val="22"/>
          <w:szCs w:val="22"/>
        </w:rPr>
        <w:t xml:space="preserve">SendGrid or Resend for transactional email. APNS for iOS push, FCM for Android push. SMS through Twilio for two-factor auth and select notifications.</w:t>
      </w:r>
    </w:p>
    <w:p>
      <w:pPr>
        <w:pStyle w:val="Heading2"/>
        <w:spacing w:after="140" w:before="360"/>
      </w:pPr>
      <w:r>
        <w:rPr>
          <w:rFonts w:ascii="Arial" w:cs="Arial" w:eastAsia="Arial" w:hAnsi="Arial"/>
          <w:b/>
          <w:bCs/>
          <w:color w:val="1A1A1A"/>
          <w:sz w:val="28"/>
          <w:szCs w:val="28"/>
        </w:rPr>
        <w:t xml:space="preserve">2.3 The system boundary</w:t>
      </w:r>
    </w:p>
    <w:p>
      <w:pPr>
        <w:spacing w:after="120" w:before="80" w:line="320"/>
      </w:pPr>
      <w:r>
        <w:rPr>
          <w:rFonts w:ascii="Arial" w:cs="Arial" w:eastAsia="Arial" w:hAnsi="Arial"/>
          <w:color w:val="1A1A1A"/>
          <w:sz w:val="22"/>
          <w:szCs w:val="22"/>
        </w:rPr>
        <w:t xml:space="preserve">Inside the boundary: every component the platform builds, configures, or operates as a logical unit. This includes the meeting runtime, the agent runtime, the brain stores, the ledger, the marketplace logic, the routing layer, the performance layer, the client applications, the admin and ops consoles. The configuration of external services (Postgres schema, Redis keyspaces, Pinecone collections, LiveKit rooms) is inside the boundary even where the underlying service is managed.</w:t>
      </w:r>
    </w:p>
    <w:p>
      <w:pPr>
        <w:spacing w:after="120" w:before="80" w:line="320"/>
      </w:pPr>
      <w:r>
        <w:rPr>
          <w:rFonts w:ascii="Arial" w:cs="Arial" w:eastAsia="Arial" w:hAnsi="Arial"/>
          <w:color w:val="1A1A1A"/>
          <w:sz w:val="22"/>
          <w:szCs w:val="22"/>
        </w:rPr>
        <w:t xml:space="preserve">Outside the boundary: the underlying infrastructure of managed services, the proprietary models of LLM providers, the operational concerns of payment processors and identity providers, the network and device infrastructure of users, the third-party meeting platforms (Zoom, Meet, Teams) that we deliberately do not integrate with.</w:t>
      </w:r>
    </w:p>
    <w:p>
      <w:pPr>
        <w:pStyle w:val="Heading2"/>
        <w:spacing w:after="140" w:before="360"/>
      </w:pPr>
      <w:r>
        <w:rPr>
          <w:rFonts w:ascii="Arial" w:cs="Arial" w:eastAsia="Arial" w:hAnsi="Arial"/>
          <w:b/>
          <w:bCs/>
          <w:color w:val="1A1A1A"/>
          <w:sz w:val="28"/>
          <w:szCs w:val="28"/>
        </w:rPr>
        <w:t xml:space="preserve">2.4 Trust boundaries</w:t>
      </w:r>
    </w:p>
    <w:p>
      <w:pPr>
        <w:spacing w:after="120" w:before="80" w:line="320"/>
      </w:pPr>
      <w:r>
        <w:rPr>
          <w:rFonts w:ascii="Arial" w:cs="Arial" w:eastAsia="Arial" w:hAnsi="Arial"/>
          <w:color w:val="1A1A1A"/>
          <w:sz w:val="22"/>
          <w:szCs w:val="22"/>
        </w:rPr>
        <w:t xml:space="preserve">Within the system, several trust boundaries exist. Crossing a trust boundary requires authentication, authorisation, audit, and — in some cases — explicit user consent.</w:t>
      </w:r>
    </w:p>
    <w:p>
      <w:pPr>
        <w:pStyle w:val="Heading2"/>
        <w:spacing w:after="140" w:before="360"/>
      </w:pPr>
      <w:r>
        <w:rPr>
          <w:rFonts w:ascii="Arial" w:cs="Arial" w:eastAsia="Arial" w:hAnsi="Arial"/>
          <w:b/>
          <w:bCs/>
          <w:color w:val="1A1A1A"/>
          <w:sz w:val="28"/>
          <w:szCs w:val="28"/>
        </w:rPr>
        <w:t xml:space="preserve">2.5 The system as users see it</w:t>
      </w:r>
    </w:p>
    <w:p>
      <w:pPr>
        <w:spacing w:after="120" w:before="80" w:line="320"/>
      </w:pPr>
      <w:r>
        <w:rPr>
          <w:rFonts w:ascii="Arial" w:cs="Arial" w:eastAsia="Arial" w:hAnsi="Arial"/>
          <w:color w:val="1A1A1A"/>
          <w:sz w:val="22"/>
          <w:szCs w:val="22"/>
        </w:rPr>
        <w:t xml:space="preserve">From a founder’s perspective, VirtualOffice AI is a single product they sign in to from their phone or browser. They do not see the routing layer, the provider registry, the three-store brain, the performance layer, or the marketplace matching engine. They see: their meetings, their team of agents and human experts, their morning briefing, their decisions and actions, their settings.</w:t>
      </w:r>
    </w:p>
    <w:p>
      <w:pPr>
        <w:spacing w:after="120" w:before="80" w:line="320"/>
      </w:pPr>
      <w:r>
        <w:rPr>
          <w:rFonts w:ascii="Arial" w:cs="Arial" w:eastAsia="Arial" w:hAnsi="Arial"/>
          <w:color w:val="1A1A1A"/>
          <w:sz w:val="22"/>
          <w:szCs w:val="22"/>
        </w:rPr>
        <w:t xml:space="preserve">This single-product experience is itself an architectural commitment. It rules out designs that surface internal complexity — dropdowns to choose models, settings to tune routing weights, exposed evaluation scores. The complexity is real but the founder is not subjected to it.</w:t>
      </w:r>
    </w:p>
    <w:p>
      <w:pPr>
        <w:pStyle w:val="Heading2"/>
        <w:spacing w:after="140" w:before="360"/>
      </w:pPr>
      <w:r>
        <w:rPr>
          <w:rFonts w:ascii="Arial" w:cs="Arial" w:eastAsia="Arial" w:hAnsi="Arial"/>
          <w:b/>
          <w:bCs/>
          <w:color w:val="1A1A1A"/>
          <w:sz w:val="28"/>
          <w:szCs w:val="28"/>
        </w:rPr>
        <w:t xml:space="preserve">2.6 What this layer locks</w:t>
      </w:r>
    </w:p>
    <w:p>
      <w:pPr>
        <w:spacing w:after="120" w:before="80" w:line="320"/>
      </w:pPr>
      <w:r>
        <w:rPr>
          <w:rFonts w:ascii="Arial" w:cs="Arial" w:eastAsia="Arial" w:hAnsi="Arial"/>
          <w:color w:val="1A1A1A"/>
          <w:sz w:val="22"/>
          <w:szCs w:val="22"/>
        </w:rPr>
        <w:t xml:space="preserve">The five actor types and their scoped interactions</w:t>
      </w:r>
    </w:p>
    <w:p>
      <w:pPr>
        <w:spacing w:after="120" w:before="80" w:line="320"/>
      </w:pPr>
      <w:r>
        <w:rPr>
          <w:rFonts w:ascii="Arial" w:cs="Arial" w:eastAsia="Arial" w:hAnsi="Arial"/>
          <w:color w:val="1A1A1A"/>
          <w:sz w:val="22"/>
          <w:szCs w:val="22"/>
        </w:rPr>
        <w:t xml:space="preserve">The bounded set of external systems we integrate with</w:t>
      </w:r>
    </w:p>
    <w:p>
      <w:pPr>
        <w:spacing w:after="120" w:before="80" w:line="320"/>
      </w:pPr>
      <w:r>
        <w:rPr>
          <w:rFonts w:ascii="Arial" w:cs="Arial" w:eastAsia="Arial" w:hAnsi="Arial"/>
          <w:color w:val="1A1A1A"/>
          <w:sz w:val="22"/>
          <w:szCs w:val="22"/>
        </w:rPr>
        <w:t xml:space="preserve">The system boundary — what we build inside, what we delegate to managed services</w:t>
      </w:r>
    </w:p>
    <w:p>
      <w:pPr>
        <w:spacing w:after="120" w:before="80" w:line="320"/>
      </w:pPr>
      <w:r>
        <w:rPr>
          <w:rFonts w:ascii="Arial" w:cs="Arial" w:eastAsia="Arial" w:hAnsi="Arial"/>
          <w:color w:val="1A1A1A"/>
          <w:sz w:val="22"/>
          <w:szCs w:val="22"/>
        </w:rPr>
        <w:t xml:space="preserve">The trust boundaries that subsequent layers will enforce</w:t>
      </w:r>
    </w:p>
    <w:p>
      <w:pPr>
        <w:spacing w:after="120" w:before="80" w:line="320"/>
      </w:pPr>
      <w:r>
        <w:rPr>
          <w:rFonts w:ascii="Arial" w:cs="Arial" w:eastAsia="Arial" w:hAnsi="Arial"/>
          <w:color w:val="1A1A1A"/>
          <w:sz w:val="22"/>
          <w:szCs w:val="22"/>
        </w:rPr>
        <w:t xml:space="preserve">The single-product experience for founders — internal complexity stays internal</w:t>
      </w:r>
    </w:p>
    <w:p>
      <w:pPr>
        <w:pStyle w:val="Heading1"/>
        <w:spacing w:after="200" w:before="480"/>
      </w:pPr>
      <w:r>
        <w:rPr>
          <w:rFonts w:ascii="Arial" w:cs="Arial" w:eastAsia="Arial" w:hAnsi="Arial"/>
          <w:b/>
          <w:bCs/>
          <w:color w:val="4A3FC7"/>
          <w:sz w:val="36"/>
          <w:szCs w:val="36"/>
        </w:rPr>
        <w:t xml:space="preserve">3. Layer 2 — Component Architecture</w:t>
      </w:r>
    </w:p>
    <w:p>
      <w:pPr>
        <w:spacing w:after="120" w:before="80" w:line="320"/>
      </w:pPr>
      <w:r>
        <w:rPr>
          <w:rFonts w:ascii="Arial" w:cs="Arial" w:eastAsia="Arial" w:hAnsi="Arial"/>
          <w:color w:val="1A1A1A"/>
          <w:sz w:val="22"/>
          <w:szCs w:val="22"/>
        </w:rPr>
        <w:t xml:space="preserve">Inside the system boundary, the platform is organised as a modular monolith with clear internal boundaries. The choice of modular monolith over microservices is deliberate: it preserves the days-to-weeks tempo by avoiding service-mesh complexity, it lets the team move quickly without inter-service contract negotiation, it keeps observability simple, and it allows extraction of specific modules into separate services later if scale or team growth demands it.</w:t>
      </w:r>
    </w:p>
    <w:p>
      <w:pPr>
        <w:spacing w:after="120" w:before="80" w:line="320"/>
      </w:pPr>
      <w:r>
        <w:rPr>
          <w:rFonts w:ascii="Arial" w:cs="Arial" w:eastAsia="Arial" w:hAnsi="Arial"/>
          <w:color w:val="1A1A1A"/>
          <w:sz w:val="22"/>
          <w:szCs w:val="22"/>
        </w:rPr>
        <w:t xml:space="preserve">The platform is organised into ten major components plus the client surfaces. Each component has a clear responsibility, a defined interface for other components to depend on, and a boundary against which it can be tested in isolation.</w:t>
      </w:r>
    </w:p>
    <w:p>
      <w:pPr>
        <w:pStyle w:val="Heading2"/>
        <w:spacing w:after="140" w:before="360"/>
      </w:pPr>
      <w:r>
        <w:rPr>
          <w:rFonts w:ascii="Arial" w:cs="Arial" w:eastAsia="Arial" w:hAnsi="Arial"/>
          <w:b/>
          <w:bCs/>
          <w:color w:val="1A1A1A"/>
          <w:sz w:val="28"/>
          <w:szCs w:val="28"/>
        </w:rPr>
        <w:t xml:space="preserve">3.1 The eleven major components</w:t>
      </w:r>
    </w:p>
    <w:p>
      <w:pPr>
        <w:spacing w:after="120" w:before="80" w:line="320"/>
      </w:pPr>
      <w:r>
        <w:rPr>
          <w:rFonts w:ascii="Arial" w:cs="Arial" w:eastAsia="Arial" w:hAnsi="Arial"/>
          <w:color w:val="1A1A1A"/>
          <w:sz w:val="22"/>
          <w:szCs w:val="22"/>
        </w:rPr>
        <w:t xml:space="preserve">The system is composed of eleven major components. Each is described briefly here; later layers expand on them. Note: v1 of the architecture defined ten components; the Admin Console (component 11) was added in v2 to support the ops team that operates the platform.</w:t>
      </w:r>
    </w:p>
    <w:p>
      <w:pPr>
        <w:pStyle w:val="ListParagraph"/>
        <w:numPr>
          <w:ilvl w:val="0"/>
          <w:numId w:val="2"/>
        </w:numPr>
        <w:spacing w:after="60" w:before="60" w:line="300"/>
      </w:pPr>
      <w:r>
        <w:rPr>
          <w:rFonts w:ascii="Arial" w:cs="Arial" w:eastAsia="Arial" w:hAnsi="Arial"/>
          <w:color w:val="1A1A1A"/>
          <w:sz w:val="22"/>
          <w:szCs w:val="22"/>
        </w:rPr>
        <w:t xml:space="preserve">Client surfaces — web, iOS, and Android applications that users interact with. Mobile is the primary surface; web is full-featured but secondary; guest browser join supports invited humans without account creation.</w:t>
      </w:r>
    </w:p>
    <w:p>
      <w:pPr>
        <w:pStyle w:val="ListParagraph"/>
        <w:numPr>
          <w:ilvl w:val="0"/>
          <w:numId w:val="2"/>
        </w:numPr>
        <w:spacing w:after="60" w:before="60" w:line="300"/>
      </w:pPr>
      <w:r>
        <w:rPr>
          <w:rFonts w:ascii="Arial" w:cs="Arial" w:eastAsia="Arial" w:hAnsi="Arial"/>
          <w:color w:val="1A1A1A"/>
          <w:sz w:val="22"/>
          <w:szCs w:val="22"/>
        </w:rPr>
        <w:t xml:space="preserve">Edge gateway — the entry point for all API and real-time traffic. Handles TLS termination, rate limiting, request routing, and WebRTC signalling negotiation.</w:t>
      </w:r>
    </w:p>
    <w:p>
      <w:pPr>
        <w:pStyle w:val="ListParagraph"/>
        <w:numPr>
          <w:ilvl w:val="0"/>
          <w:numId w:val="2"/>
        </w:numPr>
        <w:spacing w:after="60" w:before="60" w:line="300"/>
      </w:pPr>
      <w:r>
        <w:rPr>
          <w:rFonts w:ascii="Arial" w:cs="Arial" w:eastAsia="Arial" w:hAnsi="Arial"/>
          <w:color w:val="1A1A1A"/>
          <w:sz w:val="22"/>
          <w:szCs w:val="22"/>
        </w:rPr>
        <w:t xml:space="preserve">Meeting Coordinator — the real-time orchestrator that manages a meeting from start to end-of-meeting confirmation. Owns the hand-raise protocol, contribution sequencing, transcript assembly, and the end-of-meeting review trigger.</w:t>
      </w:r>
    </w:p>
    <w:p>
      <w:pPr>
        <w:pStyle w:val="ListParagraph"/>
        <w:numPr>
          <w:ilvl w:val="0"/>
          <w:numId w:val="2"/>
        </w:numPr>
        <w:spacing w:after="60" w:before="60" w:line="300"/>
      </w:pPr>
      <w:r>
        <w:rPr>
          <w:rFonts w:ascii="Arial" w:cs="Arial" w:eastAsia="Arial" w:hAnsi="Arial"/>
          <w:color w:val="1A1A1A"/>
          <w:sz w:val="22"/>
          <w:szCs w:val="22"/>
        </w:rPr>
        <w:t xml:space="preserve">Agent Runtime — runs agent controllers, manages their state through a meeting, dispatches sub-agents, and produces contributions. Operates a fleet of controllers; one per active agent in any meeting.</w:t>
      </w:r>
    </w:p>
    <w:p>
      <w:pPr>
        <w:pStyle w:val="ListParagraph"/>
        <w:numPr>
          <w:ilvl w:val="0"/>
          <w:numId w:val="2"/>
        </w:numPr>
        <w:spacing w:after="60" w:before="60" w:line="300"/>
      </w:pPr>
      <w:r>
        <w:rPr>
          <w:rFonts w:ascii="Arial" w:cs="Arial" w:eastAsia="Arial" w:hAnsi="Arial"/>
          <w:color w:val="1A1A1A"/>
          <w:sz w:val="22"/>
          <w:szCs w:val="22"/>
        </w:rPr>
        <w:t xml:space="preserve">Routing Service — selects models and providers per request. Manages the model and provider registry, applies the policy layer (per-tier defaults, per-tenant overrides, quality floors), executes failover and graceful degradation.</w:t>
      </w:r>
    </w:p>
    <w:p>
      <w:pPr>
        <w:pStyle w:val="ListParagraph"/>
        <w:numPr>
          <w:ilvl w:val="0"/>
          <w:numId w:val="2"/>
        </w:numPr>
        <w:spacing w:after="60" w:before="60" w:line="300"/>
      </w:pPr>
      <w:r>
        <w:rPr>
          <w:rFonts w:ascii="Arial" w:cs="Arial" w:eastAsia="Arial" w:hAnsi="Arial"/>
          <w:color w:val="1A1A1A"/>
          <w:sz w:val="22"/>
          <w:szCs w:val="22"/>
        </w:rPr>
        <w:t xml:space="preserve">Performance Service — captures evaluation events, runs the eval harness, performs pattern detection, drives the weekly evaluation cycle and the broader learning loop.</w:t>
      </w:r>
    </w:p>
    <w:p>
      <w:pPr>
        <w:pStyle w:val="ListParagraph"/>
        <w:numPr>
          <w:ilvl w:val="0"/>
          <w:numId w:val="2"/>
        </w:numPr>
        <w:spacing w:after="60" w:before="60" w:line="300"/>
      </w:pPr>
      <w:r>
        <w:rPr>
          <w:rFonts w:ascii="Arial" w:cs="Arial" w:eastAsia="Arial" w:hAnsi="Arial"/>
          <w:color w:val="1A1A1A"/>
          <w:sz w:val="22"/>
          <w:szCs w:val="22"/>
        </w:rPr>
        <w:t xml:space="preserve">Brain Service — owns the persistent business brain. Captures structured facts, manages the vector and graph stores, exposes brain queries to agents, surfaces brain content to founders for transparency, manages relationship graph.</w:t>
      </w:r>
    </w:p>
    <w:p>
      <w:pPr>
        <w:pStyle w:val="ListParagraph"/>
        <w:numPr>
          <w:ilvl w:val="0"/>
          <w:numId w:val="2"/>
        </w:numPr>
        <w:spacing w:after="60" w:before="60" w:line="300"/>
      </w:pPr>
      <w:r>
        <w:rPr>
          <w:rFonts w:ascii="Arial" w:cs="Arial" w:eastAsia="Arial" w:hAnsi="Arial"/>
          <w:color w:val="1A1A1A"/>
          <w:sz w:val="22"/>
          <w:szCs w:val="22"/>
        </w:rPr>
        <w:t xml:space="preserve">Ledger Service — owns the decision and action ledger. Captures decisions from end-of-meeting review, tracks action lifecycle through seven states, surfaces conflicts, supports outcome logging at any time.</w:t>
      </w:r>
    </w:p>
    <w:p>
      <w:pPr>
        <w:pStyle w:val="ListParagraph"/>
        <w:numPr>
          <w:ilvl w:val="0"/>
          <w:numId w:val="2"/>
        </w:numPr>
        <w:spacing w:after="60" w:before="60" w:line="300"/>
      </w:pPr>
      <w:r>
        <w:rPr>
          <w:rFonts w:ascii="Arial" w:cs="Arial" w:eastAsia="Arial" w:hAnsi="Arial"/>
          <w:color w:val="1A1A1A"/>
          <w:sz w:val="22"/>
          <w:szCs w:val="22"/>
        </w:rPr>
        <w:t xml:space="preserve">Marketplace Service — manages the catalog of marketplace agents and human experts, handles bookings, supports specialist invocation patterns, captures ratings, computes payouts. Includes the Marketplace Metering Service which records every billable specialist interaction.</w:t>
      </w:r>
    </w:p>
    <w:p>
      <w:pPr>
        <w:pStyle w:val="ListParagraph"/>
        <w:numPr>
          <w:ilvl w:val="0"/>
          <w:numId w:val="2"/>
        </w:numPr>
        <w:spacing w:after="60" w:before="60" w:line="300"/>
      </w:pPr>
      <w:r>
        <w:rPr>
          <w:rFonts w:ascii="Arial" w:cs="Arial" w:eastAsia="Arial" w:hAnsi="Arial"/>
          <w:color w:val="1A1A1A"/>
          <w:sz w:val="22"/>
          <w:szCs w:val="22"/>
        </w:rPr>
        <w:t xml:space="preserve">Notification Service — orchestrates push notifications, in-app alerts, email, SMS, and the morning briefing. Respects quiet hours, do-not-disturb, and per-tenant notification preferences.</w:t>
      </w:r>
    </w:p>
    <w:p>
      <w:pPr>
        <w:pStyle w:val="ListParagraph"/>
        <w:numPr>
          <w:ilvl w:val="0"/>
          <w:numId w:val="2"/>
        </w:numPr>
        <w:spacing w:after="60" w:before="60" w:line="300"/>
      </w:pPr>
      <w:r>
        <w:rPr>
          <w:rFonts w:ascii="Arial" w:cs="Arial" w:eastAsia="Arial" w:hAnsi="Arial"/>
          <w:color w:val="1A1A1A"/>
          <w:sz w:val="22"/>
          <w:szCs w:val="22"/>
        </w:rPr>
        <w:t xml:space="preserve">Admin Console — the operational surface for the platform team. Supports agent management, human expert invitation and management, founder support (consent-gated), quality monitoring, simple pricing rules, content moderation, and basic operational analytics. Sized for a small ops team at v1 with permission scoping for future role differentiation. See section 9 for the Admin Console architecture in detail.</w:t>
      </w:r>
    </w:p>
    <w:p>
      <w:pPr>
        <w:pStyle w:val="Heading3"/>
        <w:spacing w:after="100" w:before="280"/>
      </w:pPr>
      <w:r>
        <w:rPr>
          <w:rFonts w:ascii="Arial" w:cs="Arial" w:eastAsia="Arial" w:hAnsi="Arial"/>
          <w:b/>
          <w:bCs/>
          <w:color w:val="1A1A1A"/>
          <w:sz w:val="23"/>
          <w:szCs w:val="23"/>
        </w:rPr>
        <w:t xml:space="preserve">3.1.1 The Marketplace Metering Service (component within Marketplace Service)</w:t>
      </w:r>
    </w:p>
    <w:p>
      <w:pPr>
        <w:spacing w:after="120" w:before="80" w:line="320"/>
      </w:pPr>
      <w:r>
        <w:rPr>
          <w:rFonts w:ascii="Arial" w:cs="Arial" w:eastAsia="Arial" w:hAnsi="Arial"/>
          <w:color w:val="1A1A1A"/>
          <w:sz w:val="22"/>
          <w:szCs w:val="22"/>
        </w:rPr>
        <w:t xml:space="preserve">The Marketplace Metering Service is a sub-component of the Marketplace Service. It records every billable specialist interaction: marketplace agent invocations, human expert participation in meetings, retainer consumption, per-month subscription holding, per-token consumption when configured. It is the source of truth for marketplace billing and for marketplace economics enforcement (the 30/70 default split with human experts at 20/80, soft caps with upgrade prompts, the 70 percent blended gross margin target on marketplace agents).</w:t>
      </w:r>
    </w:p>
    <w:p>
      <w:pPr>
        <w:spacing w:after="120" w:before="80" w:line="320"/>
      </w:pPr>
      <w:r>
        <w:rPr>
          <w:rFonts w:ascii="Arial" w:cs="Arial" w:eastAsia="Arial" w:hAnsi="Arial"/>
          <w:color w:val="1A1A1A"/>
          <w:sz w:val="22"/>
          <w:szCs w:val="22"/>
        </w:rPr>
        <w:t xml:space="preserve">Why it exists as its own service: marketplace economics are operationally distinct from product economics. The platform must reconcile usage with both founder billing and expert payouts. Errors in metering produce financial trust failures; isolation reduces blast radius and makes audit straightforward.</w:t>
      </w:r>
    </w:p>
    <w:p>
      <w:pPr>
        <w:spacing w:after="120" w:before="80" w:line="320"/>
      </w:pPr>
      <w:r>
        <w:rPr>
          <w:rFonts w:ascii="Arial" w:cs="Arial" w:eastAsia="Arial" w:hAnsi="Arial"/>
          <w:color w:val="1A1A1A"/>
          <w:sz w:val="22"/>
          <w:szCs w:val="22"/>
        </w:rPr>
        <w:t xml:space="preserve">What it captures per event: which founder, which agent or expert, which meeting (if applicable), what billing model applies (per-month subscription, per-use, per-token, per-day, per-hour, per-week, per-month for humans), what duration or token count was consumed, what the price-per-unit is at the time of the event, what the gross amount is, what the platform share is, what the expert/creator share is.</w:t>
      </w:r>
    </w:p>
    <w:p>
      <w:pPr>
        <w:spacing w:after="120" w:before="80" w:line="320"/>
      </w:pPr>
      <w:r>
        <w:rPr>
          <w:rFonts w:ascii="Arial" w:cs="Arial" w:eastAsia="Arial" w:hAnsi="Arial"/>
          <w:color w:val="1A1A1A"/>
          <w:sz w:val="22"/>
          <w:szCs w:val="22"/>
        </w:rPr>
        <w:t xml:space="preserve">Where it sits: a dedicated set of tables in the primary relational schema (see section 4.3.6), with append-only event logs for audit and reversibility. Reconciliation jobs run hourly and daily.</w:t>
      </w:r>
    </w:p>
    <w:p>
      <w:pPr>
        <w:pStyle w:val="Heading2"/>
        <w:spacing w:after="140" w:before="360"/>
      </w:pPr>
      <w:r>
        <w:rPr>
          <w:rFonts w:ascii="Arial" w:cs="Arial" w:eastAsia="Arial" w:hAnsi="Arial"/>
          <w:b/>
          <w:bCs/>
          <w:color w:val="1A1A1A"/>
          <w:sz w:val="28"/>
          <w:szCs w:val="28"/>
        </w:rPr>
        <w:t xml:space="preserve">3.2 Client surfaces</w:t>
      </w:r>
    </w:p>
    <w:p>
      <w:pPr>
        <w:spacing w:after="120" w:before="80" w:line="320"/>
      </w:pPr>
      <w:r>
        <w:rPr>
          <w:rFonts w:ascii="Arial" w:cs="Arial" w:eastAsia="Arial" w:hAnsi="Arial"/>
          <w:color w:val="1A1A1A"/>
          <w:sz w:val="22"/>
          <w:szCs w:val="22"/>
        </w:rPr>
        <w:t xml:space="preserve">Three first-class client surfaces, all built on the same backend:</w:t>
      </w:r>
    </w:p>
    <w:p>
      <w:pPr>
        <w:pStyle w:val="Heading3"/>
        <w:spacing w:after="100" w:before="280"/>
      </w:pPr>
      <w:r>
        <w:rPr>
          <w:rFonts w:ascii="Arial" w:cs="Arial" w:eastAsia="Arial" w:hAnsi="Arial"/>
          <w:b/>
          <w:bCs/>
          <w:color w:val="1A1A1A"/>
          <w:sz w:val="23"/>
          <w:szCs w:val="23"/>
        </w:rPr>
        <w:t xml:space="preserve">3.2.1 Web client</w:t>
      </w:r>
    </w:p>
    <w:p>
      <w:pPr>
        <w:spacing w:after="120" w:before="80" w:line="320"/>
      </w:pPr>
      <w:r>
        <w:rPr>
          <w:rFonts w:ascii="Arial" w:cs="Arial" w:eastAsia="Arial" w:hAnsi="Arial"/>
          <w:color w:val="1A1A1A"/>
          <w:sz w:val="22"/>
          <w:szCs w:val="22"/>
        </w:rPr>
        <w:t xml:space="preserve">React + TypeScript single-page application. Targets desktop browsers and mobile web. Uses the media vendor’s Web SDK for real-time audio. Mobile web is a degraded experience compared to native apps but functional for guests joining via browser link.</w:t>
      </w:r>
    </w:p>
    <w:p>
      <w:pPr>
        <w:pStyle w:val="Heading3"/>
        <w:spacing w:after="100" w:before="280"/>
      </w:pPr>
      <w:r>
        <w:rPr>
          <w:rFonts w:ascii="Arial" w:cs="Arial" w:eastAsia="Arial" w:hAnsi="Arial"/>
          <w:b/>
          <w:bCs/>
          <w:color w:val="1A1A1A"/>
          <w:sz w:val="23"/>
          <w:szCs w:val="23"/>
        </w:rPr>
        <w:t xml:space="preserve">3.2.2 Mobile clients</w:t>
      </w:r>
    </w:p>
    <w:p>
      <w:pPr>
        <w:spacing w:after="120" w:before="80" w:line="320"/>
      </w:pPr>
      <w:r>
        <w:rPr>
          <w:rFonts w:ascii="Arial" w:cs="Arial" w:eastAsia="Arial" w:hAnsi="Arial"/>
          <w:color w:val="1A1A1A"/>
          <w:sz w:val="22"/>
          <w:szCs w:val="22"/>
        </w:rPr>
        <w:t xml:space="preserve">React Native (committed default; Flutter as alternative — confirmed at build start). One codebase produces both iOS and Android apps. Uses the media vendor’s React Native SDK for real-time audio. Native modules for platform-specific behaviour: APNS/FCM push, background mode, audio device routing, network resilience. Mobile-first product design.</w:t>
      </w:r>
    </w:p>
    <w:p>
      <w:pPr>
        <w:pStyle w:val="Heading3"/>
        <w:spacing w:after="100" w:before="280"/>
      </w:pPr>
      <w:r>
        <w:rPr>
          <w:rFonts w:ascii="Arial" w:cs="Arial" w:eastAsia="Arial" w:hAnsi="Arial"/>
          <w:b/>
          <w:bCs/>
          <w:color w:val="1A1A1A"/>
          <w:sz w:val="23"/>
          <w:szCs w:val="23"/>
        </w:rPr>
        <w:t xml:space="preserve">3.2.3 Guest browser join</w:t>
      </w:r>
    </w:p>
    <w:p>
      <w:pPr>
        <w:spacing w:after="120" w:before="80" w:line="320"/>
      </w:pPr>
      <w:r>
        <w:rPr>
          <w:rFonts w:ascii="Arial" w:cs="Arial" w:eastAsia="Arial" w:hAnsi="Arial"/>
          <w:color w:val="1A1A1A"/>
          <w:sz w:val="22"/>
          <w:szCs w:val="22"/>
        </w:rPr>
        <w:t xml:space="preserve">Lightweight subset of the web client. No authentication. Consent capture at meeting entry. Scoped to one meeting. Optimised for fast load on first visit — the guest is often someone the founder is meeting for the first time, and the join experience must not be a source of friction.</w:t>
      </w:r>
    </w:p>
    <w:p>
      <w:pPr>
        <w:pStyle w:val="Heading2"/>
        <w:spacing w:after="140" w:before="360"/>
      </w:pPr>
      <w:r>
        <w:rPr>
          <w:rFonts w:ascii="Arial" w:cs="Arial" w:eastAsia="Arial" w:hAnsi="Arial"/>
          <w:b/>
          <w:bCs/>
          <w:color w:val="1A1A1A"/>
          <w:sz w:val="28"/>
          <w:szCs w:val="28"/>
        </w:rPr>
        <w:t xml:space="preserve">3.3 The data plane and the control plane</w:t>
      </w:r>
    </w:p>
    <w:p>
      <w:pPr>
        <w:spacing w:after="120" w:before="80" w:line="320"/>
      </w:pPr>
      <w:r>
        <w:rPr>
          <w:rFonts w:ascii="Arial" w:cs="Arial" w:eastAsia="Arial" w:hAnsi="Arial"/>
          <w:color w:val="1A1A1A"/>
          <w:sz w:val="22"/>
          <w:szCs w:val="22"/>
        </w:rPr>
        <w:t xml:space="preserve">Two distinct planes of data flow:</w:t>
      </w:r>
    </w:p>
    <w:p>
      <w:pPr>
        <w:pStyle w:val="Heading3"/>
        <w:spacing w:after="100" w:before="280"/>
      </w:pPr>
      <w:r>
        <w:rPr>
          <w:rFonts w:ascii="Arial" w:cs="Arial" w:eastAsia="Arial" w:hAnsi="Arial"/>
          <w:b/>
          <w:bCs/>
          <w:color w:val="1A1A1A"/>
          <w:sz w:val="23"/>
          <w:szCs w:val="23"/>
        </w:rPr>
        <w:t xml:space="preserve">3.3.1 The data plane</w:t>
      </w:r>
    </w:p>
    <w:p>
      <w:pPr>
        <w:spacing w:after="120" w:before="80" w:line="320"/>
      </w:pPr>
      <w:r>
        <w:rPr>
          <w:rFonts w:ascii="Arial" w:cs="Arial" w:eastAsia="Arial" w:hAnsi="Arial"/>
          <w:color w:val="1A1A1A"/>
          <w:sz w:val="22"/>
          <w:szCs w:val="22"/>
        </w:rPr>
        <w:t xml:space="preserve">The latency-critical path: a participant speaks or types, audio or text moves through the meeting runtime, agents reason over it, contributions flow back. End-to-end latency budget for an agent contribution from acknowledgement to audio playback is two to four seconds. The data plane is optimised for this path: in-memory state, hot caches, streaming transport, minimal serialisation overhead.</w:t>
      </w:r>
    </w:p>
    <w:p>
      <w:pPr>
        <w:pStyle w:val="Heading3"/>
        <w:spacing w:after="100" w:before="280"/>
      </w:pPr>
      <w:r>
        <w:rPr>
          <w:rFonts w:ascii="Arial" w:cs="Arial" w:eastAsia="Arial" w:hAnsi="Arial"/>
          <w:b/>
          <w:bCs/>
          <w:color w:val="1A1A1A"/>
          <w:sz w:val="23"/>
          <w:szCs w:val="23"/>
        </w:rPr>
        <w:t xml:space="preserve">3.3.2 The control plane</w:t>
      </w:r>
    </w:p>
    <w:p>
      <w:pPr>
        <w:spacing w:after="120" w:before="80" w:line="320"/>
      </w:pPr>
      <w:r>
        <w:rPr>
          <w:rFonts w:ascii="Arial" w:cs="Arial" w:eastAsia="Arial" w:hAnsi="Arial"/>
          <w:color w:val="1A1A1A"/>
          <w:sz w:val="22"/>
          <w:szCs w:val="22"/>
        </w:rPr>
        <w:t xml:space="preserve">The slower path: configuration changes, agent definition updates, prompt deployments, routing registry updates, evaluation runs, billing reconciliation, marketplace operations. The control plane is optimised for correctness, auditability, and durability. Latency tolerated in seconds to minutes.</w:t>
      </w:r>
    </w:p>
    <w:p>
      <w:pPr>
        <w:spacing w:after="120" w:before="80" w:line="320"/>
      </w:pPr>
      <w:r>
        <w:rPr>
          <w:rFonts w:ascii="Arial" w:cs="Arial" w:eastAsia="Arial" w:hAnsi="Arial"/>
          <w:color w:val="1A1A1A"/>
          <w:sz w:val="22"/>
          <w:szCs w:val="22"/>
        </w:rPr>
        <w:t xml:space="preserve">The two planes share data structures and stores but use them differently. A meeting record exists on both planes: the data plane reads and updates it during the meeting, the control plane reads it for audit and analysis afterwards.</w:t>
      </w:r>
    </w:p>
    <w:p>
      <w:pPr>
        <w:pStyle w:val="Heading2"/>
        <w:spacing w:after="140" w:before="360"/>
      </w:pPr>
      <w:r>
        <w:rPr>
          <w:rFonts w:ascii="Arial" w:cs="Arial" w:eastAsia="Arial" w:hAnsi="Arial"/>
          <w:b/>
          <w:bCs/>
          <w:color w:val="1A1A1A"/>
          <w:sz w:val="28"/>
          <w:szCs w:val="28"/>
        </w:rPr>
        <w:t xml:space="preserve">3.4 Component interaction patterns</w:t>
      </w:r>
    </w:p>
    <w:p>
      <w:pPr>
        <w:spacing w:after="120" w:before="80" w:line="320"/>
      </w:pPr>
      <w:r>
        <w:rPr>
          <w:rFonts w:ascii="Arial" w:cs="Arial" w:eastAsia="Arial" w:hAnsi="Arial"/>
          <w:color w:val="1A1A1A"/>
          <w:sz w:val="22"/>
          <w:szCs w:val="22"/>
        </w:rPr>
        <w:t xml:space="preserve">Three interaction patterns are used across the platform:</w:t>
      </w:r>
    </w:p>
    <w:p>
      <w:pPr>
        <w:pStyle w:val="Heading3"/>
        <w:spacing w:after="100" w:before="280"/>
      </w:pPr>
      <w:r>
        <w:rPr>
          <w:rFonts w:ascii="Arial" w:cs="Arial" w:eastAsia="Arial" w:hAnsi="Arial"/>
          <w:b/>
          <w:bCs/>
          <w:color w:val="1A1A1A"/>
          <w:sz w:val="23"/>
          <w:szCs w:val="23"/>
        </w:rPr>
        <w:t xml:space="preserve">3.4.1 Request-response (synchronous)</w:t>
      </w:r>
    </w:p>
    <w:p>
      <w:pPr>
        <w:spacing w:after="120" w:before="80" w:line="320"/>
      </w:pPr>
      <w:r>
        <w:rPr>
          <w:rFonts w:ascii="Arial" w:cs="Arial" w:eastAsia="Arial" w:hAnsi="Arial"/>
          <w:color w:val="1A1A1A"/>
          <w:sz w:val="22"/>
          <w:szCs w:val="22"/>
        </w:rPr>
        <w:t xml:space="preserve">Direct in-process function calls within the modular monolith. Used for low-latency reads and writes within a single transaction. The Identity and Tenancy component is consulted via in-process call on every authenticated request to resolve who the requester is and what they can access.</w:t>
      </w:r>
    </w:p>
    <w:p>
      <w:pPr>
        <w:pStyle w:val="Heading3"/>
        <w:spacing w:after="100" w:before="280"/>
      </w:pPr>
      <w:r>
        <w:rPr>
          <w:rFonts w:ascii="Arial" w:cs="Arial" w:eastAsia="Arial" w:hAnsi="Arial"/>
          <w:b/>
          <w:bCs/>
          <w:color w:val="1A1A1A"/>
          <w:sz w:val="23"/>
          <w:szCs w:val="23"/>
        </w:rPr>
        <w:t xml:space="preserve">3.4.2 Event-driven (asynchronous)</w:t>
      </w:r>
    </w:p>
    <w:p>
      <w:pPr>
        <w:spacing w:after="120" w:before="80" w:line="320"/>
      </w:pPr>
      <w:r>
        <w:rPr>
          <w:rFonts w:ascii="Arial" w:cs="Arial" w:eastAsia="Arial" w:hAnsi="Arial"/>
          <w:color w:val="1A1A1A"/>
          <w:sz w:val="22"/>
          <w:szCs w:val="22"/>
        </w:rPr>
        <w:t xml:space="preserve">Components publish events to an internal event bus. Other components subscribe. Used for things that should happen but should not block the request-response path: writing to the audit log, updating the brain after a session, computing performance signals, sending notifications. Built on a message queue (SQS or Pub/Sub).</w:t>
      </w:r>
    </w:p>
    <w:p>
      <w:pPr>
        <w:pStyle w:val="Heading3"/>
        <w:spacing w:after="100" w:before="280"/>
      </w:pPr>
      <w:r>
        <w:rPr>
          <w:rFonts w:ascii="Arial" w:cs="Arial" w:eastAsia="Arial" w:hAnsi="Arial"/>
          <w:b/>
          <w:bCs/>
          <w:color w:val="1A1A1A"/>
          <w:sz w:val="23"/>
          <w:szCs w:val="23"/>
        </w:rPr>
        <w:t xml:space="preserve">3.4.3 Streaming</w:t>
      </w:r>
    </w:p>
    <w:p>
      <w:pPr>
        <w:spacing w:after="120" w:before="80" w:line="320"/>
      </w:pPr>
      <w:r>
        <w:rPr>
          <w:rFonts w:ascii="Arial" w:cs="Arial" w:eastAsia="Arial" w:hAnsi="Arial"/>
          <w:color w:val="1A1A1A"/>
          <w:sz w:val="22"/>
          <w:szCs w:val="22"/>
        </w:rPr>
        <w:t xml:space="preserve">Real-time bidirectional flows for audio and text during meetings. Built on WebSocket connections (for control messages) and the media vendor’s WebRTC transport (for audio). The streaming substrate has its own backpressure and flow control logic distinct from the request-response and event-driven patterns.</w:t>
      </w:r>
    </w:p>
    <w:p>
      <w:pPr>
        <w:pStyle w:val="Heading2"/>
        <w:spacing w:after="140" w:before="360"/>
      </w:pPr>
      <w:r>
        <w:rPr>
          <w:rFonts w:ascii="Arial" w:cs="Arial" w:eastAsia="Arial" w:hAnsi="Arial"/>
          <w:b/>
          <w:bCs/>
          <w:color w:val="1A1A1A"/>
          <w:sz w:val="28"/>
          <w:szCs w:val="28"/>
        </w:rPr>
        <w:t xml:space="preserve">3.5 How a meeting flows through the components</w:t>
      </w:r>
    </w:p>
    <w:p>
      <w:pPr>
        <w:spacing w:after="120" w:before="80" w:line="320"/>
      </w:pPr>
      <w:r>
        <w:rPr>
          <w:rFonts w:ascii="Arial" w:cs="Arial" w:eastAsia="Arial" w:hAnsi="Arial"/>
          <w:color w:val="1A1A1A"/>
          <w:sz w:val="22"/>
          <w:szCs w:val="22"/>
        </w:rPr>
        <w:t xml:space="preserve">A worked example showing how the components collaborate during a typical meeting:</w:t>
      </w:r>
    </w:p>
    <w:p>
      <w:pPr>
        <w:spacing w:after="120" w:before="80" w:line="320"/>
      </w:pPr>
      <w:r>
        <w:rPr>
          <w:rFonts w:ascii="Arial" w:cs="Arial" w:eastAsia="Arial" w:hAnsi="Arial"/>
          <w:color w:val="1A1A1A"/>
          <w:sz w:val="22"/>
          <w:szCs w:val="22"/>
        </w:rPr>
        <w:t xml:space="preserve">Founder taps "Start meeting" in the mobile app. Identity and Tenancy authenticates the request. Meeting Runtime creates a session record, allocates a media room with the vendor, returns the session ID and join token to the client.</w:t>
      </w:r>
    </w:p>
    <w:p>
      <w:pPr>
        <w:spacing w:after="120" w:before="80" w:line="320"/>
      </w:pPr>
      <w:r>
        <w:rPr>
          <w:rFonts w:ascii="Arial" w:cs="Arial" w:eastAsia="Arial" w:hAnsi="Arial"/>
          <w:color w:val="1A1A1A"/>
          <w:sz w:val="22"/>
          <w:szCs w:val="22"/>
        </w:rPr>
        <w:t xml:space="preserve">Client joins the media room via the vendor SDK. Meeting Runtime registers the founder as the host participant. Agent Runtime reads the founder’s default agent roster (or the meeting-specific roster if pre-configured), instantiates each agent’s controller, and adds them as named participants in the session.</w:t>
      </w:r>
    </w:p>
    <w:p>
      <w:pPr>
        <w:spacing w:after="120" w:before="80" w:line="320"/>
      </w:pPr>
      <w:r>
        <w:rPr>
          <w:rFonts w:ascii="Arial" w:cs="Arial" w:eastAsia="Arial" w:hAnsi="Arial"/>
          <w:color w:val="1A1A1A"/>
          <w:sz w:val="22"/>
          <w:szCs w:val="22"/>
        </w:rPr>
        <w:t xml:space="preserve">Brain Service is queried for context relevant to the meeting agenda. Ledger Service is queried for active decisions and actions touching the topic. Both deliver context packages that agent controllers receive at session start.</w:t>
      </w:r>
    </w:p>
    <w:p>
      <w:pPr>
        <w:spacing w:after="120" w:before="80" w:line="320"/>
      </w:pPr>
      <w:r>
        <w:rPr>
          <w:rFonts w:ascii="Arial" w:cs="Arial" w:eastAsia="Arial" w:hAnsi="Arial"/>
          <w:color w:val="1A1A1A"/>
          <w:sz w:val="22"/>
          <w:szCs w:val="22"/>
        </w:rPr>
        <w:t xml:space="preserve">The founder speaks. Audio streams to Meeting Runtime. STT transcribes. The transcript stream is published to all agent controllers and to the founder’s client.</w:t>
      </w:r>
    </w:p>
    <w:p>
      <w:pPr>
        <w:spacing w:after="120" w:before="80" w:line="320"/>
      </w:pPr>
      <w:r>
        <w:rPr>
          <w:rFonts w:ascii="Arial" w:cs="Arial" w:eastAsia="Arial" w:hAnsi="Arial"/>
          <w:color w:val="1A1A1A"/>
          <w:sz w:val="22"/>
          <w:szCs w:val="22"/>
        </w:rPr>
        <w:t xml:space="preserve">Each agent controller observes the transcript. When an agent has something material to contribute, its controller dispatches sub-agents in parallel for fact retrieval, analysis, comparison. When the controller decides the contribution is ready, it raises a hand — a structured event published to Meeting Runtime, which surfaces it in the session UI.</w:t>
      </w:r>
    </w:p>
    <w:p>
      <w:pPr>
        <w:spacing w:after="120" w:before="80" w:line="320"/>
      </w:pPr>
      <w:r>
        <w:rPr>
          <w:rFonts w:ascii="Arial" w:cs="Arial" w:eastAsia="Arial" w:hAnsi="Arial"/>
          <w:color w:val="1A1A1A"/>
          <w:sz w:val="22"/>
          <w:szCs w:val="22"/>
        </w:rPr>
        <w:t xml:space="preserve">The founder acknowledges via voice ("Sarah, go ahead") or click. Meeting Runtime resolves the acknowledgement, signals the agent controller. The controller produces the contribution as text. Routing Service selects the model for any final synthesis call. The contribution is published to all participants — spoken via TTS for audio mode, displayed in the transcript and side panel for chat mode.</w:t>
      </w:r>
    </w:p>
    <w:p>
      <w:pPr>
        <w:spacing w:after="120" w:before="80" w:line="320"/>
      </w:pPr>
      <w:r>
        <w:rPr>
          <w:rFonts w:ascii="Arial" w:cs="Arial" w:eastAsia="Arial" w:hAnsi="Arial"/>
          <w:color w:val="1A1A1A"/>
          <w:sz w:val="22"/>
          <w:szCs w:val="22"/>
        </w:rPr>
        <w:t xml:space="preserve">Performance Service captures evaluation events for the contribution: factual grounding score, peer agreement signals, latency. Routing Service logs the routing decision with all dimensions.</w:t>
      </w:r>
    </w:p>
    <w:p>
      <w:pPr>
        <w:spacing w:after="120" w:before="80" w:line="320"/>
      </w:pPr>
      <w:r>
        <w:rPr>
          <w:rFonts w:ascii="Arial" w:cs="Arial" w:eastAsia="Arial" w:hAnsi="Arial"/>
          <w:color w:val="1A1A1A"/>
          <w:sz w:val="22"/>
          <w:szCs w:val="22"/>
        </w:rPr>
        <w:t xml:space="preserve">When the founder signals end-of-meeting, Meeting Runtime triggers the end-of-meeting review. Ledger Service surfaces decisions detected, actions committed, conflicts requiring resolution, open prior items. The founder confirms each. Ledger Service writes confirmed records, updates the Brain Service. The session closes.</w:t>
      </w:r>
    </w:p>
    <w:p>
      <w:pPr>
        <w:spacing w:after="120" w:before="80" w:line="320"/>
      </w:pPr>
      <w:r>
        <w:rPr>
          <w:rFonts w:ascii="Arial" w:cs="Arial" w:eastAsia="Arial" w:hAnsi="Arial"/>
          <w:color w:val="1A1A1A"/>
          <w:sz w:val="22"/>
          <w:szCs w:val="22"/>
        </w:rPr>
        <w:t xml:space="preserve">Asynchronously: Brain Service updates the eight knowledge domains with new content. Performance Service computes aggregate signals. Notification Service queues the morning briefing for the next day. Audit logs are written.</w:t>
      </w:r>
    </w:p>
    <w:p>
      <w:pPr>
        <w:pStyle w:val="Heading2"/>
        <w:spacing w:after="140" w:before="360"/>
      </w:pPr>
      <w:r>
        <w:rPr>
          <w:rFonts w:ascii="Arial" w:cs="Arial" w:eastAsia="Arial" w:hAnsi="Arial"/>
          <w:b/>
          <w:bCs/>
          <w:color w:val="1A1A1A"/>
          <w:sz w:val="28"/>
          <w:szCs w:val="28"/>
        </w:rPr>
        <w:t xml:space="preserve">3.6 Internal API contracts</w:t>
      </w:r>
    </w:p>
    <w:p>
      <w:pPr>
        <w:spacing w:after="120" w:before="80" w:line="320"/>
      </w:pPr>
      <w:r>
        <w:rPr>
          <w:rFonts w:ascii="Arial" w:cs="Arial" w:eastAsia="Arial" w:hAnsi="Arial"/>
          <w:color w:val="1A1A1A"/>
          <w:sz w:val="22"/>
          <w:szCs w:val="22"/>
        </w:rPr>
        <w:t xml:space="preserve">Components expose their capabilities through versioned internal APIs. The contracts are typed (TypeScript interfaces; later possibly schema-validated at runtime), documented, and changeable only with explicit version increments.</w:t>
      </w:r>
    </w:p>
    <w:p>
      <w:pPr>
        <w:spacing w:after="120" w:before="80" w:line="320"/>
      </w:pPr>
      <w:r>
        <w:rPr>
          <w:rFonts w:ascii="Arial" w:cs="Arial" w:eastAsia="Arial" w:hAnsi="Arial"/>
          <w:color w:val="1A1A1A"/>
          <w:sz w:val="22"/>
          <w:szCs w:val="22"/>
        </w:rPr>
        <w:t xml:space="preserve">A representative interface, the Brain Service’s primary read API:</w:t>
      </w:r>
    </w:p>
    <w:p>
      <w:pPr>
        <w:spacing w:after="120" w:before="80" w:line="320"/>
      </w:pPr>
      <w:r>
        <w:rPr>
          <w:rFonts w:ascii="Arial" w:cs="Arial" w:eastAsia="Arial" w:hAnsi="Arial"/>
          <w:color w:val="1A1A1A"/>
          <w:sz w:val="22"/>
          <w:szCs w:val="22"/>
        </w:rPr>
        <w:t xml:space="preserve">interface BrainService {</w:t>
      </w:r>
    </w:p>
    <w:p>
      <w:pPr>
        <w:spacing w:after="120" w:before="80" w:line="320"/>
      </w:pPr>
      <w:r>
        <w:rPr>
          <w:rFonts w:ascii="Arial" w:cs="Arial" w:eastAsia="Arial" w:hAnsi="Arial"/>
          <w:color w:val="1A1A1A"/>
          <w:sz w:val="22"/>
          <w:szCs w:val="22"/>
        </w:rPr>
        <w:t xml:space="preserve">  // Get current state across the eight knowledge domains</w:t>
      </w:r>
    </w:p>
    <w:p>
      <w:pPr>
        <w:spacing w:after="120" w:before="80" w:line="320"/>
      </w:pPr>
      <w:r>
        <w:rPr>
          <w:rFonts w:ascii="Arial" w:cs="Arial" w:eastAsia="Arial" w:hAnsi="Arial"/>
          <w:color w:val="1A1A1A"/>
          <w:sz w:val="22"/>
          <w:szCs w:val="22"/>
        </w:rPr>
        <w:t xml:space="preserve">  getContext(tenantId: string, query: ContextQuery): Promise&lt;BrainContext&gt;;</w:t>
      </w:r>
    </w:p>
    <w:p>
      <w:pPr>
        <w:spacing w:after="120" w:before="80" w:line="320"/>
      </w:pPr>
      <w:r>
        <w:rPr>
          <w:rFonts w:ascii="Arial" w:cs="Arial" w:eastAsia="Arial" w:hAnsi="Arial"/>
          <w:color w:val="1A1A1A"/>
          <w:sz w:val="22"/>
          <w:szCs w:val="22"/>
        </w:rPr>
        <w:t xml:space="preserve">  // Semantic retrieval against the vector store</w:t>
      </w:r>
    </w:p>
    <w:p>
      <w:pPr>
        <w:spacing w:after="120" w:before="80" w:line="320"/>
      </w:pPr>
      <w:r>
        <w:rPr>
          <w:rFonts w:ascii="Arial" w:cs="Arial" w:eastAsia="Arial" w:hAnsi="Arial"/>
          <w:color w:val="1A1A1A"/>
          <w:sz w:val="22"/>
          <w:szCs w:val="22"/>
        </w:rPr>
        <w:t xml:space="preserve">  semanticSearch(tenantId: string, query: string, opts?: SearchOpts): Promise&lt;SearchResult[]&gt;;</w:t>
      </w:r>
    </w:p>
    <w:p>
      <w:pPr>
        <w:spacing w:after="120" w:before="80" w:line="320"/>
      </w:pPr>
      <w:r>
        <w:rPr>
          <w:rFonts w:ascii="Arial" w:cs="Arial" w:eastAsia="Arial" w:hAnsi="Arial"/>
          <w:color w:val="1A1A1A"/>
          <w:sz w:val="22"/>
          <w:szCs w:val="22"/>
        </w:rPr>
        <w:t xml:space="preserve">  // Graph traversal for relationship queries</w:t>
      </w:r>
    </w:p>
    <w:p>
      <w:pPr>
        <w:spacing w:after="120" w:before="80" w:line="320"/>
      </w:pPr>
      <w:r>
        <w:rPr>
          <w:rFonts w:ascii="Arial" w:cs="Arial" w:eastAsia="Arial" w:hAnsi="Arial"/>
          <w:color w:val="1A1A1A"/>
          <w:sz w:val="22"/>
          <w:szCs w:val="22"/>
        </w:rPr>
        <w:t xml:space="preserve">  graphQuery(tenantId: string, cypher: string, params: object): Promise&lt;GraphResult&gt;;</w:t>
      </w:r>
    </w:p>
    <w:p>
      <w:pPr>
        <w:spacing w:after="120" w:before="80" w:line="320"/>
      </w:pPr>
      <w:r>
        <w:rPr>
          <w:rFonts w:ascii="Arial" w:cs="Arial" w:eastAsia="Arial" w:hAnsi="Arial"/>
          <w:color w:val="1A1A1A"/>
          <w:sz w:val="22"/>
          <w:szCs w:val="22"/>
        </w:rPr>
        <w:t xml:space="preserve">  // Write a new fact, decision, or relationship</w:t>
      </w:r>
    </w:p>
    <w:p>
      <w:pPr>
        <w:spacing w:after="120" w:before="80" w:line="320"/>
      </w:pPr>
      <w:r>
        <w:rPr>
          <w:rFonts w:ascii="Arial" w:cs="Arial" w:eastAsia="Arial" w:hAnsi="Arial"/>
          <w:color w:val="1A1A1A"/>
          <w:sz w:val="22"/>
          <w:szCs w:val="22"/>
        </w:rPr>
        <w:t xml:space="preserve">  ingest(tenantId: string, event: IngestionEvent): Promise&lt;IngestionResult&gt;;</w:t>
      </w:r>
    </w:p>
    <w:p>
      <w:pPr>
        <w:spacing w:after="120" w:before="80" w:line="320"/>
      </w:pPr>
      <w:r>
        <w:rPr>
          <w:rFonts w:ascii="Arial" w:cs="Arial" w:eastAsia="Arial" w:hAnsi="Arial"/>
          <w:color w:val="1A1A1A"/>
          <w:sz w:val="22"/>
          <w:szCs w:val="22"/>
        </w:rPr>
        <w:t xml:space="preserve">  // Surface conflicts between newly ingested data and existing brain state</w:t>
      </w:r>
    </w:p>
    <w:p>
      <w:pPr>
        <w:spacing w:after="120" w:before="80" w:line="320"/>
      </w:pPr>
      <w:r>
        <w:rPr>
          <w:rFonts w:ascii="Arial" w:cs="Arial" w:eastAsia="Arial" w:hAnsi="Arial"/>
          <w:color w:val="1A1A1A"/>
          <w:sz w:val="22"/>
          <w:szCs w:val="22"/>
        </w:rPr>
        <w:t xml:space="preserve">  detectConflicts(tenantId: string, candidate: IngestionEvent): Promise&lt;Conflict[]&gt;;</w:t>
      </w:r>
    </w:p>
    <w:p>
      <w:pPr>
        <w:spacing w:after="120" w:before="80" w:line="320"/>
      </w:pPr>
      <w:r>
        <w:rPr>
          <w:rFonts w:ascii="Arial" w:cs="Arial" w:eastAsia="Arial" w:hAnsi="Arial"/>
          <w:color w:val="1A1A1A"/>
          <w:sz w:val="22"/>
          <w:szCs w:val="22"/>
        </w:rPr>
        <w:t xml:space="preserve">}</w:t>
      </w:r>
    </w:p>
    <w:p>
      <w:pPr>
        <w:spacing w:after="120" w:before="80" w:line="320"/>
      </w:pPr>
      <w:r>
        <w:rPr>
          <w:rFonts w:ascii="Arial" w:cs="Arial" w:eastAsia="Arial" w:hAnsi="Arial"/>
          <w:color w:val="1A1A1A"/>
          <w:sz w:val="22"/>
          <w:szCs w:val="22"/>
        </w:rPr>
        <w:t xml:space="preserve">Every method takes tenantId as the first parameter. This is enforced by the type system and by runtime checks. There is no overload that accepts a query without tenantId; cross-tenant queries are not expressible in the codebase.</w:t>
      </w:r>
    </w:p>
    <w:p>
      <w:pPr>
        <w:pStyle w:val="Heading2"/>
        <w:spacing w:after="140" w:before="360"/>
      </w:pPr>
      <w:r>
        <w:rPr>
          <w:rFonts w:ascii="Arial" w:cs="Arial" w:eastAsia="Arial" w:hAnsi="Arial"/>
          <w:b/>
          <w:bCs/>
          <w:color w:val="1A1A1A"/>
          <w:sz w:val="28"/>
          <w:szCs w:val="28"/>
        </w:rPr>
        <w:t xml:space="preserve">3.7 Deployment topology</w:t>
      </w:r>
    </w:p>
    <w:p>
      <w:pPr>
        <w:spacing w:after="120" w:before="80" w:line="320"/>
      </w:pPr>
      <w:r>
        <w:rPr>
          <w:rFonts w:ascii="Arial" w:cs="Arial" w:eastAsia="Arial" w:hAnsi="Arial"/>
          <w:color w:val="1A1A1A"/>
          <w:sz w:val="22"/>
          <w:szCs w:val="22"/>
        </w:rPr>
        <w:t xml:space="preserve">The modular monolith deploys as a small number of process types:</w:t>
      </w:r>
    </w:p>
    <w:p>
      <w:pPr>
        <w:spacing w:after="120" w:before="80" w:line="320"/>
      </w:pPr>
      <w:r>
        <w:rPr>
          <w:rFonts w:ascii="Arial" w:cs="Arial" w:eastAsia="Arial" w:hAnsi="Arial"/>
          <w:color w:val="1A1A1A"/>
          <w:sz w:val="22"/>
          <w:szCs w:val="22"/>
        </w:rPr>
        <w:t xml:space="preserve">API server pool — stateless, horizontally scaled, behind a load balancer. Handles all client requests, both REST and WebSocket. Auto-scales on CPU and connection count.</w:t>
      </w:r>
    </w:p>
    <w:p>
      <w:pPr>
        <w:spacing w:after="120" w:before="80" w:line="320"/>
      </w:pPr>
      <w:r>
        <w:rPr>
          <w:rFonts w:ascii="Arial" w:cs="Arial" w:eastAsia="Arial" w:hAnsi="Arial"/>
          <w:color w:val="1A1A1A"/>
          <w:sz w:val="22"/>
          <w:szCs w:val="22"/>
        </w:rPr>
        <w:t xml:space="preserve">Background worker pool — stateless, horizontally scaled. Subscribes to the event bus. Runs ingestion jobs, sends notifications, computes performance signals, runs scheduled jobs. Auto-scales on queue depth.</w:t>
      </w:r>
    </w:p>
    <w:p>
      <w:pPr>
        <w:spacing w:after="120" w:before="80" w:line="320"/>
      </w:pPr>
      <w:r>
        <w:rPr>
          <w:rFonts w:ascii="Arial" w:cs="Arial" w:eastAsia="Arial" w:hAnsi="Arial"/>
          <w:color w:val="1A1A1A"/>
          <w:sz w:val="22"/>
          <w:szCs w:val="22"/>
        </w:rPr>
        <w:t xml:space="preserve">Media coordinator pool — stateful per session, scaled to active session count. Holds in-memory state for live meetings, manages agent runtime instances, coordinates with the media vendor. Scales horizontally with session count; sessions are sticky to one coordinator instance for the duration of the meeting.</w:t>
      </w:r>
    </w:p>
    <w:p>
      <w:pPr>
        <w:spacing w:after="120" w:before="80" w:line="320"/>
      </w:pPr>
      <w:r>
        <w:rPr>
          <w:rFonts w:ascii="Arial" w:cs="Arial" w:eastAsia="Arial" w:hAnsi="Arial"/>
          <w:color w:val="1A1A1A"/>
          <w:sz w:val="22"/>
          <w:szCs w:val="22"/>
        </w:rPr>
        <w:t xml:space="preserve">Scheduled job runner — single instance with leader election. Runs the weekly model evaluation cycle, the daily decay sweeps, the morning briefing assembly cron. Failover to standby if the primary is unhealthy.</w:t>
      </w:r>
    </w:p>
    <w:p>
      <w:pPr>
        <w:spacing w:after="120" w:before="80" w:line="320"/>
      </w:pPr>
      <w:r>
        <w:rPr>
          <w:rFonts w:ascii="Arial" w:cs="Arial" w:eastAsia="Arial" w:hAnsi="Arial"/>
          <w:color w:val="1A1A1A"/>
          <w:sz w:val="22"/>
          <w:szCs w:val="22"/>
        </w:rPr>
        <w:t xml:space="preserve">Admin console — separate small deployment, accessible only from operator IP allowlist. Strict authentication and authorisation.</w:t>
      </w:r>
    </w:p>
    <w:p>
      <w:pPr>
        <w:pStyle w:val="Heading2"/>
        <w:spacing w:after="140" w:before="360"/>
      </w:pPr>
      <w:r>
        <w:rPr>
          <w:rFonts w:ascii="Arial" w:cs="Arial" w:eastAsia="Arial" w:hAnsi="Arial"/>
          <w:b/>
          <w:bCs/>
          <w:color w:val="1A1A1A"/>
          <w:sz w:val="28"/>
          <w:szCs w:val="28"/>
        </w:rPr>
        <w:t xml:space="preserve">3.8 Why modular monolith and when to break it apart</w:t>
      </w:r>
    </w:p>
    <w:p>
      <w:pPr>
        <w:spacing w:after="120" w:before="80" w:line="320"/>
      </w:pPr>
      <w:r>
        <w:rPr>
          <w:rFonts w:ascii="Arial" w:cs="Arial" w:eastAsia="Arial" w:hAnsi="Arial"/>
          <w:color w:val="1A1A1A"/>
          <w:sz w:val="22"/>
          <w:szCs w:val="22"/>
        </w:rPr>
        <w:t xml:space="preserve">At the team size and tempo we are committed to, microservices would multiply work. Each service needs its own deployment pipeline, its own database, its own observability, its own on-call. The modular monolith collapses these concerns to one set of each, while preserving internal modularity through enforced module boundaries.</w:t>
      </w:r>
    </w:p>
    <w:p>
      <w:pPr>
        <w:spacing w:after="120" w:before="80" w:line="320"/>
      </w:pPr>
      <w:r>
        <w:rPr>
          <w:rFonts w:ascii="Arial" w:cs="Arial" w:eastAsia="Arial" w:hAnsi="Arial"/>
          <w:color w:val="1A1A1A"/>
          <w:sz w:val="22"/>
          <w:szCs w:val="22"/>
        </w:rPr>
        <w:t xml:space="preserve">Specific signals that should trigger extraction of a module into a separate service:</w:t>
      </w:r>
    </w:p>
    <w:p>
      <w:pPr>
        <w:spacing w:after="120" w:before="80" w:line="320"/>
      </w:pPr>
      <w:r>
        <w:rPr>
          <w:rFonts w:ascii="Arial" w:cs="Arial" w:eastAsia="Arial" w:hAnsi="Arial"/>
          <w:color w:val="1A1A1A"/>
          <w:sz w:val="22"/>
          <w:szCs w:val="22"/>
        </w:rPr>
        <w:t xml:space="preserve">A module needs independent scaling characteristics that cause issues in the shared deployment (CPU spikes that affect API latency, memory profiles that conflict with worker pool sizing)</w:t>
      </w:r>
    </w:p>
    <w:p>
      <w:pPr>
        <w:spacing w:after="120" w:before="80" w:line="320"/>
      </w:pPr>
      <w:r>
        <w:rPr>
          <w:rFonts w:ascii="Arial" w:cs="Arial" w:eastAsia="Arial" w:hAnsi="Arial"/>
          <w:color w:val="1A1A1A"/>
          <w:sz w:val="22"/>
          <w:szCs w:val="22"/>
        </w:rPr>
        <w:t xml:space="preserve">A module needs separate technology stack (a Python ML training service that does not fit a Node.js or Go monolith)</w:t>
      </w:r>
    </w:p>
    <w:p>
      <w:pPr>
        <w:spacing w:after="120" w:before="80" w:line="320"/>
      </w:pPr>
      <w:r>
        <w:rPr>
          <w:rFonts w:ascii="Arial" w:cs="Arial" w:eastAsia="Arial" w:hAnsi="Arial"/>
          <w:color w:val="1A1A1A"/>
          <w:sz w:val="22"/>
          <w:szCs w:val="22"/>
        </w:rPr>
        <w:t xml:space="preserve">A module crosses a regulatory boundary (a data residency requirement that is easier to satisfy with a separate deployment)</w:t>
      </w:r>
    </w:p>
    <w:p>
      <w:pPr>
        <w:spacing w:after="120" w:before="80" w:line="320"/>
      </w:pPr>
      <w:r>
        <w:rPr>
          <w:rFonts w:ascii="Arial" w:cs="Arial" w:eastAsia="Arial" w:hAnsi="Arial"/>
          <w:color w:val="1A1A1A"/>
          <w:sz w:val="22"/>
          <w:szCs w:val="22"/>
        </w:rPr>
        <w:t xml:space="preserve">A module is owned by a team large enough that deployment coordination becomes a real cost</w:t>
      </w:r>
    </w:p>
    <w:p>
      <w:pPr>
        <w:spacing w:after="120" w:before="80" w:line="320"/>
      </w:pPr>
      <w:r>
        <w:rPr>
          <w:rFonts w:ascii="Arial" w:cs="Arial" w:eastAsia="Arial" w:hAnsi="Arial"/>
          <w:color w:val="1A1A1A"/>
          <w:sz w:val="22"/>
          <w:szCs w:val="22"/>
        </w:rPr>
        <w:t xml:space="preserve">None of these apply at v1. The first candidate for extraction, when it comes, is likely the Performance Service — its workload is bursty, its data store can be physically separated, and the engineering-revenue insulation requirement makes a separate service the cleanest enforcement.</w:t>
      </w:r>
    </w:p>
    <w:p>
      <w:pPr>
        <w:pStyle w:val="Heading1"/>
        <w:spacing w:after="200" w:before="480"/>
      </w:pPr>
      <w:r>
        <w:rPr>
          <w:rFonts w:ascii="Arial" w:cs="Arial" w:eastAsia="Arial" w:hAnsi="Arial"/>
          <w:b/>
          <w:bCs/>
          <w:color w:val="4A3FC7"/>
          <w:sz w:val="36"/>
          <w:szCs w:val="36"/>
        </w:rPr>
        <w:t xml:space="preserve">4. Layer 3 — Data Architecture</w:t>
      </w:r>
    </w:p>
    <w:p>
      <w:pPr>
        <w:spacing w:after="120" w:before="80" w:line="320"/>
      </w:pPr>
      <w:r>
        <w:rPr>
          <w:rFonts w:ascii="Arial" w:cs="Arial" w:eastAsia="Arial" w:hAnsi="Arial"/>
          <w:color w:val="1A1A1A"/>
          <w:sz w:val="22"/>
          <w:szCs w:val="22"/>
        </w:rPr>
        <w:t xml:space="preserve">The data architecture is where most of the load-bearing engineering decisions live. The data model is what we cannot easily change later. This layer specifies every persistent store the platform owns, the schema or shape of each, the relationships between stores, and the integrity rules that hold across stores.</w:t>
      </w:r>
    </w:p>
    <w:p>
      <w:pPr>
        <w:spacing w:after="120" w:before="80" w:line="320"/>
      </w:pPr>
      <w:r>
        <w:rPr>
          <w:rFonts w:ascii="Arial" w:cs="Arial" w:eastAsia="Arial" w:hAnsi="Arial"/>
          <w:color w:val="1A1A1A"/>
          <w:sz w:val="22"/>
          <w:szCs w:val="22"/>
        </w:rPr>
        <w:t xml:space="preserve">Five distinct data stores serve five distinct access patterns. The platform writes to all of them on every meaningful event; reads use whichever store best serves the query.</w:t>
      </w:r>
    </w:p>
    <w:p>
      <w:pPr>
        <w:pStyle w:val="Heading2"/>
        <w:spacing w:after="140" w:before="360"/>
      </w:pPr>
      <w:r>
        <w:rPr>
          <w:rFonts w:ascii="Arial" w:cs="Arial" w:eastAsia="Arial" w:hAnsi="Arial"/>
          <w:b/>
          <w:bCs/>
          <w:color w:val="1A1A1A"/>
          <w:sz w:val="28"/>
          <w:szCs w:val="28"/>
        </w:rPr>
        <w:t xml:space="preserve">4.1 The five stores</w:t>
      </w:r>
    </w:p>
    <w:p>
      <w:pPr>
        <w:pStyle w:val="Heading2"/>
        <w:spacing w:after="140" w:before="360"/>
      </w:pPr>
      <w:r>
        <w:rPr>
          <w:rFonts w:ascii="Arial" w:cs="Arial" w:eastAsia="Arial" w:hAnsi="Arial"/>
          <w:b/>
          <w:bCs/>
          <w:color w:val="1A1A1A"/>
          <w:sz w:val="28"/>
          <w:szCs w:val="28"/>
        </w:rPr>
        <w:t xml:space="preserve">4.2 Per-organisation namespacing</w:t>
      </w:r>
    </w:p>
    <w:p>
      <w:pPr>
        <w:spacing w:after="120" w:before="80" w:line="320"/>
      </w:pPr>
      <w:r>
        <w:rPr>
          <w:rFonts w:ascii="Arial" w:cs="Arial" w:eastAsia="Arial" w:hAnsi="Arial"/>
          <w:color w:val="1A1A1A"/>
          <w:sz w:val="22"/>
          <w:szCs w:val="22"/>
        </w:rPr>
        <w:t xml:space="preserve">Tenant isolation is enforced at the data layer, not by application policy. The architecture makes cross-tenant queries impossible to express, not merely prohibited.</w:t>
      </w:r>
    </w:p>
    <w:p>
      <w:pPr>
        <w:pStyle w:val="Heading3"/>
        <w:spacing w:after="100" w:before="280"/>
      </w:pPr>
      <w:r>
        <w:rPr>
          <w:rFonts w:ascii="Arial" w:cs="Arial" w:eastAsia="Arial" w:hAnsi="Arial"/>
          <w:b/>
          <w:bCs/>
          <w:color w:val="1A1A1A"/>
          <w:sz w:val="23"/>
          <w:szCs w:val="23"/>
        </w:rPr>
        <w:t xml:space="preserve">4.2.1 Postgres tenancy</w:t>
      </w:r>
    </w:p>
    <w:p>
      <w:pPr>
        <w:spacing w:after="120" w:before="80" w:line="320"/>
      </w:pPr>
      <w:r>
        <w:rPr>
          <w:rFonts w:ascii="Arial" w:cs="Arial" w:eastAsia="Arial" w:hAnsi="Arial"/>
          <w:color w:val="1A1A1A"/>
          <w:sz w:val="22"/>
          <w:szCs w:val="22"/>
        </w:rPr>
        <w:t xml:space="preserve">Every table that holds tenant-specific data has a non-null tenant_id column with a foreign key to the tenants table. Row-level security policies on every such table restrict every query to the tenant context set by the connection. The application sets the tenant context immediately after acquiring a connection from the pool; queries that do not set the context fail closed (no rows returned) rather than fail open.</w:t>
      </w:r>
    </w:p>
    <w:p>
      <w:pPr>
        <w:spacing w:after="120" w:before="80" w:line="320"/>
      </w:pPr>
      <w:r>
        <w:rPr>
          <w:rFonts w:ascii="Arial" w:cs="Arial" w:eastAsia="Arial" w:hAnsi="Arial"/>
          <w:color w:val="1A1A1A"/>
          <w:sz w:val="22"/>
          <w:szCs w:val="22"/>
        </w:rPr>
        <w:t xml:space="preserve">-- Every tenant-scoped table follows this pattern</w:t>
      </w:r>
    </w:p>
    <w:p>
      <w:pPr>
        <w:spacing w:after="120" w:before="80" w:line="320"/>
      </w:pPr>
      <w:r>
        <w:rPr>
          <w:rFonts w:ascii="Arial" w:cs="Arial" w:eastAsia="Arial" w:hAnsi="Arial"/>
          <w:color w:val="1A1A1A"/>
          <w:sz w:val="22"/>
          <w:szCs w:val="22"/>
        </w:rPr>
        <w:t xml:space="preserve">CREATE TABLE meetings (</w:t>
      </w:r>
    </w:p>
    <w:p>
      <w:pPr>
        <w:spacing w:after="120" w:before="80" w:line="320"/>
      </w:pPr>
      <w:r>
        <w:rPr>
          <w:rFonts w:ascii="Arial" w:cs="Arial" w:eastAsia="Arial" w:hAnsi="Arial"/>
          <w:color w:val="1A1A1A"/>
          <w:sz w:val="22"/>
          <w:szCs w:val="22"/>
        </w:rPr>
        <w:t xml:space="preserve">  id UUID PRIMARY KEY DEFAULT gen_random_uuid(),</w:t>
      </w:r>
    </w:p>
    <w:p>
      <w:pPr>
        <w:spacing w:after="120" w:before="80" w:line="320"/>
      </w:pPr>
      <w:r>
        <w:rPr>
          <w:rFonts w:ascii="Arial" w:cs="Arial" w:eastAsia="Arial" w:hAnsi="Arial"/>
          <w:color w:val="1A1A1A"/>
          <w:sz w:val="22"/>
          <w:szCs w:val="22"/>
        </w:rPr>
        <w:t xml:space="preserve">  tenant_id UUID NOT NULL REFERENCES tenants(id),</w:t>
      </w:r>
    </w:p>
    <w:p>
      <w:pPr>
        <w:spacing w:after="120" w:before="80" w:line="320"/>
      </w:pPr>
      <w:r>
        <w:rPr>
          <w:rFonts w:ascii="Arial" w:cs="Arial" w:eastAsia="Arial" w:hAnsi="Arial"/>
          <w:color w:val="1A1A1A"/>
          <w:sz w:val="22"/>
          <w:szCs w:val="22"/>
        </w:rPr>
        <w:t xml:space="preserve">  -- ...other columns</w:t>
      </w:r>
    </w:p>
    <w:p>
      <w:pPr>
        <w:spacing w:after="120" w:before="80" w:line="320"/>
      </w:pPr>
      <w:r>
        <w:rPr>
          <w:rFonts w:ascii="Arial" w:cs="Arial" w:eastAsia="Arial" w:hAnsi="Arial"/>
          <w:color w:val="1A1A1A"/>
          <w:sz w:val="22"/>
          <w:szCs w:val="22"/>
        </w:rPr>
        <w:t xml:space="preserve">  created_at TIMESTAMPTZ NOT NULL DEFAULT now()</w:t>
      </w:r>
    </w:p>
    <w:p>
      <w:pPr>
        <w:spacing w:after="120" w:before="80" w:line="320"/>
      </w:pPr>
      <w:r>
        <w:rPr>
          <w:rFonts w:ascii="Arial" w:cs="Arial" w:eastAsia="Arial" w:hAnsi="Arial"/>
          <w:color w:val="1A1A1A"/>
          <w:sz w:val="22"/>
          <w:szCs w:val="22"/>
        </w:rPr>
        <w:t xml:space="preserve">);</w:t>
      </w:r>
    </w:p>
    <w:p>
      <w:pPr>
        <w:spacing w:after="120" w:before="80" w:line="320"/>
      </w:pPr>
      <w:r>
        <w:rPr>
          <w:rFonts w:ascii="Arial" w:cs="Arial" w:eastAsia="Arial" w:hAnsi="Arial"/>
          <w:color w:val="1A1A1A"/>
          <w:sz w:val="22"/>
          <w:szCs w:val="22"/>
        </w:rPr>
        <w:t xml:space="preserve">ALTER TABLE meetings ENABLE ROW LEVEL SECURITY;</w:t>
      </w:r>
    </w:p>
    <w:p>
      <w:pPr>
        <w:spacing w:after="120" w:before="80" w:line="320"/>
      </w:pPr>
      <w:r>
        <w:rPr>
          <w:rFonts w:ascii="Arial" w:cs="Arial" w:eastAsia="Arial" w:hAnsi="Arial"/>
          <w:color w:val="1A1A1A"/>
          <w:sz w:val="22"/>
          <w:szCs w:val="22"/>
        </w:rPr>
        <w:t xml:space="preserve">CREATE POLICY tenant_isolation ON meetings</w:t>
      </w:r>
    </w:p>
    <w:p>
      <w:pPr>
        <w:spacing w:after="120" w:before="80" w:line="320"/>
      </w:pPr>
      <w:r>
        <w:rPr>
          <w:rFonts w:ascii="Arial" w:cs="Arial" w:eastAsia="Arial" w:hAnsi="Arial"/>
          <w:color w:val="1A1A1A"/>
          <w:sz w:val="22"/>
          <w:szCs w:val="22"/>
        </w:rPr>
        <w:t xml:space="preserve">  USING (tenant_id = current_setting('app.tenant_id')::uuid);</w:t>
      </w:r>
    </w:p>
    <w:p>
      <w:pPr>
        <w:spacing w:after="120" w:before="80" w:line="320"/>
      </w:pPr>
      <w:r>
        <w:rPr>
          <w:rFonts w:ascii="Arial" w:cs="Arial" w:eastAsia="Arial" w:hAnsi="Arial"/>
          <w:color w:val="1A1A1A"/>
          <w:sz w:val="22"/>
          <w:szCs w:val="22"/>
        </w:rPr>
        <w:t xml:space="preserve">A bug in the application layer that omits the tenant_id filter does not leak data — row-level security still applies the filter at the database. This is the floor; the application also enforces tenant context at every query path through type-checked APIs.</w:t>
      </w:r>
    </w:p>
    <w:p>
      <w:pPr>
        <w:pStyle w:val="Heading3"/>
        <w:spacing w:after="100" w:before="280"/>
      </w:pPr>
      <w:r>
        <w:rPr>
          <w:rFonts w:ascii="Arial" w:cs="Arial" w:eastAsia="Arial" w:hAnsi="Arial"/>
          <w:b/>
          <w:bCs/>
          <w:color w:val="1A1A1A"/>
          <w:sz w:val="23"/>
          <w:szCs w:val="23"/>
        </w:rPr>
        <w:t xml:space="preserve">4.2.2 Vector store tenancy</w:t>
      </w:r>
    </w:p>
    <w:p>
      <w:pPr>
        <w:spacing w:after="120" w:before="80" w:line="320"/>
      </w:pPr>
      <w:r>
        <w:rPr>
          <w:rFonts w:ascii="Arial" w:cs="Arial" w:eastAsia="Arial" w:hAnsi="Arial"/>
          <w:color w:val="1A1A1A"/>
          <w:sz w:val="22"/>
          <w:szCs w:val="22"/>
        </w:rPr>
        <w:t xml:space="preserve">Each tenant has its own namespace in the vector store (Pinecone calls these "namespaces"; pgvector achieves the same via partitioning by tenant_id). Queries are issued against a single namespace; cross-namespace queries are not supported by the vector store API and are not added by the platform.</w:t>
      </w:r>
    </w:p>
    <w:p>
      <w:pPr>
        <w:pStyle w:val="Heading3"/>
        <w:spacing w:after="100" w:before="280"/>
      </w:pPr>
      <w:r>
        <w:rPr>
          <w:rFonts w:ascii="Arial" w:cs="Arial" w:eastAsia="Arial" w:hAnsi="Arial"/>
          <w:b/>
          <w:bCs/>
          <w:color w:val="1A1A1A"/>
          <w:sz w:val="23"/>
          <w:szCs w:val="23"/>
        </w:rPr>
        <w:t xml:space="preserve">4.2.3 Graph database tenancy</w:t>
      </w:r>
    </w:p>
    <w:p>
      <w:pPr>
        <w:spacing w:after="120" w:before="80" w:line="320"/>
      </w:pPr>
      <w:r>
        <w:rPr>
          <w:rFonts w:ascii="Arial" w:cs="Arial" w:eastAsia="Arial" w:hAnsi="Arial"/>
          <w:color w:val="1A1A1A"/>
          <w:sz w:val="22"/>
          <w:szCs w:val="22"/>
        </w:rPr>
        <w:t xml:space="preserve">Each tenant has its own logical database within the Neo4j cluster (Neo4j AuraDB supports per-tenant databases up to a configured limit; beyond that, per-tenant labels and constraint enforcement substitute). Queries open a connection scoped to the tenant database.</w:t>
      </w:r>
    </w:p>
    <w:p>
      <w:pPr>
        <w:pStyle w:val="Heading3"/>
        <w:spacing w:after="100" w:before="280"/>
      </w:pPr>
      <w:r>
        <w:rPr>
          <w:rFonts w:ascii="Arial" w:cs="Arial" w:eastAsia="Arial" w:hAnsi="Arial"/>
          <w:b/>
          <w:bCs/>
          <w:color w:val="1A1A1A"/>
          <w:sz w:val="23"/>
          <w:szCs w:val="23"/>
        </w:rPr>
        <w:t xml:space="preserve">4.2.4 Cache and object store tenancy</w:t>
      </w:r>
    </w:p>
    <w:p>
      <w:pPr>
        <w:spacing w:after="120" w:before="80" w:line="320"/>
      </w:pPr>
      <w:r>
        <w:rPr>
          <w:rFonts w:ascii="Arial" w:cs="Arial" w:eastAsia="Arial" w:hAnsi="Arial"/>
          <w:color w:val="1A1A1A"/>
          <w:sz w:val="22"/>
          <w:szCs w:val="22"/>
        </w:rPr>
        <w:t xml:space="preserve">Redis keys are prefixed with the tenant ID: tenant:{tenantId}:session:{sessionId}:state. Object store keys are similarly prefixed: s3://vo-prod-uploads/{tenantId}/{sessionId}/recording.opus. Per-tenant IAM policies on the object store buckets prevent cross-tenant reads even if a key were guessed.</w:t>
      </w:r>
    </w:p>
    <w:p>
      <w:pPr>
        <w:pStyle w:val="Heading2"/>
        <w:spacing w:after="140" w:before="360"/>
      </w:pPr>
      <w:r>
        <w:rPr>
          <w:rFonts w:ascii="Arial" w:cs="Arial" w:eastAsia="Arial" w:hAnsi="Arial"/>
          <w:b/>
          <w:bCs/>
          <w:color w:val="1A1A1A"/>
          <w:sz w:val="28"/>
          <w:szCs w:val="28"/>
        </w:rPr>
        <w:t xml:space="preserve">4.3 The primary relational schema</w:t>
      </w:r>
    </w:p>
    <w:p>
      <w:pPr>
        <w:spacing w:after="120" w:before="80" w:line="320"/>
      </w:pPr>
      <w:r>
        <w:rPr>
          <w:rFonts w:ascii="Arial" w:cs="Arial" w:eastAsia="Arial" w:hAnsi="Arial"/>
          <w:color w:val="1A1A1A"/>
          <w:sz w:val="22"/>
          <w:szCs w:val="22"/>
        </w:rPr>
        <w:t xml:space="preserve">Postgres holds the system of record. The schema is organised into ten logical groups:</w:t>
      </w:r>
    </w:p>
    <w:p>
      <w:pPr>
        <w:pStyle w:val="Heading3"/>
        <w:spacing w:after="100" w:before="280"/>
      </w:pPr>
      <w:r>
        <w:rPr>
          <w:rFonts w:ascii="Arial" w:cs="Arial" w:eastAsia="Arial" w:hAnsi="Arial"/>
          <w:b/>
          <w:bCs/>
          <w:color w:val="1A1A1A"/>
          <w:sz w:val="23"/>
          <w:szCs w:val="23"/>
        </w:rPr>
        <w:t xml:space="preserve">4.3.1 Identity and tenancy</w:t>
      </w:r>
    </w:p>
    <w:p>
      <w:pPr>
        <w:pStyle w:val="Heading3"/>
        <w:spacing w:after="100" w:before="280"/>
      </w:pPr>
      <w:r>
        <w:rPr>
          <w:rFonts w:ascii="Arial" w:cs="Arial" w:eastAsia="Arial" w:hAnsi="Arial"/>
          <w:b/>
          <w:bCs/>
          <w:color w:val="1A1A1A"/>
          <w:sz w:val="23"/>
          <w:szCs w:val="23"/>
        </w:rPr>
        <w:t xml:space="preserve">4.3.2 Sessions and meetings</w:t>
      </w:r>
    </w:p>
    <w:p>
      <w:pPr>
        <w:pStyle w:val="Heading3"/>
        <w:spacing w:after="100" w:before="280"/>
      </w:pPr>
      <w:r>
        <w:rPr>
          <w:rFonts w:ascii="Arial" w:cs="Arial" w:eastAsia="Arial" w:hAnsi="Arial"/>
          <w:b/>
          <w:bCs/>
          <w:color w:val="1A1A1A"/>
          <w:sz w:val="23"/>
          <w:szCs w:val="23"/>
        </w:rPr>
        <w:t xml:space="preserve">4.3.3 The ledger (v2 — expanded)</w:t>
      </w:r>
    </w:p>
    <w:p>
      <w:pPr>
        <w:spacing w:after="120" w:before="80" w:line="320"/>
      </w:pPr>
      <w:r>
        <w:rPr>
          <w:rFonts w:ascii="Arial" w:cs="Arial" w:eastAsia="Arial" w:hAnsi="Arial"/>
          <w:color w:val="1A1A1A"/>
          <w:sz w:val="22"/>
          <w:szCs w:val="22"/>
        </w:rPr>
        <w:t xml:space="preserve">The ledger captures decisions, actions, conflicts, and superseded states. v2 expands the action lifecycle and adds explicit state for "currently active" surfacing.</w:t>
      </w:r>
    </w:p>
    <w:p>
      <w:pPr>
        <w:pStyle w:val="Heading4"/>
        <w:spacing w:after="80" w:before="200"/>
      </w:pPr>
      <w:r>
        <w:rPr>
          <w:rFonts w:ascii="Arial" w:cs="Arial" w:eastAsia="Arial" w:hAnsi="Arial"/>
          <w:b/>
          <w:bCs/>
          <w:color w:val="5F5E5A"/>
          <w:sz w:val="21"/>
          <w:szCs w:val="21"/>
        </w:rPr>
        <w:t xml:space="preserve">Decisions table</w:t>
      </w:r>
    </w:p>
    <w:p>
      <w:pPr>
        <w:spacing w:after="120" w:before="80" w:line="320"/>
      </w:pPr>
      <w:r>
        <w:rPr>
          <w:rFonts w:ascii="Arial" w:cs="Arial" w:eastAsia="Arial" w:hAnsi="Arial"/>
          <w:color w:val="1A1A1A"/>
          <w:sz w:val="22"/>
          <w:szCs w:val="22"/>
        </w:rPr>
        <w:t xml:space="preserve">Stores every confirmed decision from end-of-meeting reviews and other capture surfaces. Fields: id, organisation_id, meeting_id (nullable for decisions captured outside meetings), decision_type, summary, rationale, stakes_level (low/medium/high), confirmed_by, confirmed_at, superseded_by (nullable), supersession_reason (nullable). Append-only: decisions are never deleted, only superseded.</w:t>
      </w:r>
    </w:p>
    <w:p>
      <w:pPr>
        <w:pStyle w:val="Heading4"/>
        <w:spacing w:after="80" w:before="200"/>
      </w:pPr>
      <w:r>
        <w:rPr>
          <w:rFonts w:ascii="Arial" w:cs="Arial" w:eastAsia="Arial" w:hAnsi="Arial"/>
          <w:b/>
          <w:bCs/>
          <w:color w:val="5F5E5A"/>
          <w:sz w:val="21"/>
          <w:szCs w:val="21"/>
        </w:rPr>
        <w:t xml:space="preserve">Actions table</w:t>
      </w:r>
    </w:p>
    <w:p>
      <w:pPr>
        <w:spacing w:after="120" w:before="80" w:line="320"/>
      </w:pPr>
      <w:r>
        <w:rPr>
          <w:rFonts w:ascii="Arial" w:cs="Arial" w:eastAsia="Arial" w:hAnsi="Arial"/>
          <w:color w:val="1A1A1A"/>
          <w:sz w:val="22"/>
          <w:szCs w:val="22"/>
        </w:rPr>
        <w:t xml:space="preserve">Stores every action item from meetings or directly captured. Fields: id, organisation_id, decision_id (nullable, links to decision that produced it), assigned_to (founder, agent, or expert), state, due_at (nullable), created_at, updated_at, blocked_reason (nullable, only when state is Blocked), snoozed_until (required when state is Snoozed), delegated_to_expert_id (nullable, when state is Delegated_to_expert), completed_at (nullable), outcome (nullable, free text logged when state moves to Completed).</w:t>
      </w:r>
    </w:p>
    <w:p>
      <w:pPr>
        <w:pStyle w:val="Heading4"/>
        <w:spacing w:after="80" w:before="200"/>
      </w:pPr>
      <w:r>
        <w:rPr>
          <w:rFonts w:ascii="Arial" w:cs="Arial" w:eastAsia="Arial" w:hAnsi="Arial"/>
          <w:b/>
          <w:bCs/>
          <w:color w:val="5F5E5A"/>
          <w:sz w:val="21"/>
          <w:szCs w:val="21"/>
        </w:rPr>
        <w:t xml:space="preserve">The seven action states (v1)</w:t>
      </w:r>
    </w:p>
    <w:p>
      <w:pPr>
        <w:pStyle w:val="ListParagraph"/>
        <w:numPr>
          <w:ilvl w:val="0"/>
          <w:numId w:val="2"/>
        </w:numPr>
        <w:spacing w:after="60" w:before="60" w:line="300"/>
      </w:pPr>
      <w:r>
        <w:rPr>
          <w:rFonts w:ascii="Arial" w:cs="Arial" w:eastAsia="Arial" w:hAnsi="Arial"/>
          <w:color w:val="1A1A1A"/>
          <w:sz w:val="22"/>
          <w:szCs w:val="22"/>
        </w:rPr>
        <w:t xml:space="preserve">Pending — action exists, owner identified, not yet started.</w:t>
      </w:r>
    </w:p>
    <w:p>
      <w:pPr>
        <w:pStyle w:val="ListParagraph"/>
        <w:numPr>
          <w:ilvl w:val="0"/>
          <w:numId w:val="2"/>
        </w:numPr>
        <w:spacing w:after="60" w:before="60" w:line="300"/>
      </w:pPr>
      <w:r>
        <w:rPr>
          <w:rFonts w:ascii="Arial" w:cs="Arial" w:eastAsia="Arial" w:hAnsi="Arial"/>
          <w:color w:val="1A1A1A"/>
          <w:sz w:val="22"/>
          <w:szCs w:val="22"/>
        </w:rPr>
        <w:t xml:space="preserve">In Progress — action is being worked on.</w:t>
      </w:r>
    </w:p>
    <w:p>
      <w:pPr>
        <w:pStyle w:val="ListParagraph"/>
        <w:numPr>
          <w:ilvl w:val="0"/>
          <w:numId w:val="2"/>
        </w:numPr>
        <w:spacing w:after="60" w:before="60" w:line="300"/>
      </w:pPr>
      <w:r>
        <w:rPr>
          <w:rFonts w:ascii="Arial" w:cs="Arial" w:eastAsia="Arial" w:hAnsi="Arial"/>
          <w:color w:val="1A1A1A"/>
          <w:sz w:val="22"/>
          <w:szCs w:val="22"/>
        </w:rPr>
        <w:t xml:space="preserve">Completed — action is done. Outcome logging prompt fires to the founder via end-of-meeting review or via direct ledger surface interaction.</w:t>
      </w:r>
    </w:p>
    <w:p>
      <w:pPr>
        <w:pStyle w:val="ListParagraph"/>
        <w:numPr>
          <w:ilvl w:val="0"/>
          <w:numId w:val="2"/>
        </w:numPr>
        <w:spacing w:after="60" w:before="60" w:line="300"/>
      </w:pPr>
      <w:r>
        <w:rPr>
          <w:rFonts w:ascii="Arial" w:cs="Arial" w:eastAsia="Arial" w:hAnsi="Arial"/>
          <w:color w:val="1A1A1A"/>
          <w:sz w:val="22"/>
          <w:szCs w:val="22"/>
        </w:rPr>
        <w:t xml:space="preserve">Cancelled — action is no longer relevant. Reason captured as free text.</w:t>
      </w:r>
    </w:p>
    <w:p>
      <w:pPr>
        <w:pStyle w:val="ListParagraph"/>
        <w:numPr>
          <w:ilvl w:val="0"/>
          <w:numId w:val="2"/>
        </w:numPr>
        <w:spacing w:after="60" w:before="60" w:line="300"/>
      </w:pPr>
      <w:r>
        <w:rPr>
          <w:rFonts w:ascii="Arial" w:cs="Arial" w:eastAsia="Arial" w:hAnsi="Arial"/>
          <w:color w:val="1A1A1A"/>
          <w:sz w:val="22"/>
          <w:szCs w:val="22"/>
        </w:rPr>
        <w:t xml:space="preserve">Blocked — action cannot progress. Blocked reason is optional but encouraged.</w:t>
      </w:r>
    </w:p>
    <w:p>
      <w:pPr>
        <w:pStyle w:val="ListParagraph"/>
        <w:numPr>
          <w:ilvl w:val="0"/>
          <w:numId w:val="2"/>
        </w:numPr>
        <w:spacing w:after="60" w:before="60" w:line="300"/>
      </w:pPr>
      <w:r>
        <w:rPr>
          <w:rFonts w:ascii="Arial" w:cs="Arial" w:eastAsia="Arial" w:hAnsi="Arial"/>
          <w:color w:val="1A1A1A"/>
          <w:sz w:val="22"/>
          <w:szCs w:val="22"/>
        </w:rPr>
        <w:t xml:space="preserve">Snoozed — action is paused until a specific date. snoozed_until is required.</w:t>
      </w:r>
    </w:p>
    <w:p>
      <w:pPr>
        <w:pStyle w:val="ListParagraph"/>
        <w:numPr>
          <w:ilvl w:val="0"/>
          <w:numId w:val="2"/>
        </w:numPr>
        <w:spacing w:after="60" w:before="60" w:line="300"/>
      </w:pPr>
      <w:r>
        <w:rPr>
          <w:rFonts w:ascii="Arial" w:cs="Arial" w:eastAsia="Arial" w:hAnsi="Arial"/>
          <w:color w:val="1A1A1A"/>
          <w:sz w:val="22"/>
          <w:szCs w:val="22"/>
        </w:rPr>
        <w:t xml:space="preserve">Delegated_to_expert — action is owned by a marketplace expert. delegated_to_expert_id is required. Expert sees the action in their dashboard. State remains Delegated_to_expert until expert marks it Completed or returns it to founder.</w:t>
      </w:r>
    </w:p>
    <w:p>
      <w:pPr>
        <w:spacing w:after="120" w:before="80" w:line="320"/>
      </w:pPr>
      <w:r>
        <w:rPr>
          <w:rFonts w:ascii="Arial" w:cs="Arial" w:eastAsia="Arial" w:hAnsi="Arial"/>
          <w:color w:val="1A1A1A"/>
          <w:sz w:val="22"/>
          <w:szCs w:val="22"/>
        </w:rPr>
        <w:t xml:space="preserve">Note: Delegated_to_team_member is deferred to v2 of the product. Team members watching actions will be supported when team-member surfaces are built.</w:t>
      </w:r>
    </w:p>
    <w:p>
      <w:pPr>
        <w:pStyle w:val="Heading4"/>
        <w:spacing w:after="80" w:before="200"/>
      </w:pPr>
      <w:r>
        <w:rPr>
          <w:rFonts w:ascii="Arial" w:cs="Arial" w:eastAsia="Arial" w:hAnsi="Arial"/>
          <w:b/>
          <w:bCs/>
          <w:color w:val="5F5E5A"/>
          <w:sz w:val="21"/>
          <w:szCs w:val="21"/>
        </w:rPr>
        <w:t xml:space="preserve">Conflicts table</w:t>
      </w:r>
    </w:p>
    <w:p>
      <w:pPr>
        <w:spacing w:after="120" w:before="80" w:line="320"/>
      </w:pPr>
      <w:r>
        <w:rPr>
          <w:rFonts w:ascii="Arial" w:cs="Arial" w:eastAsia="Arial" w:hAnsi="Arial"/>
          <w:color w:val="1A1A1A"/>
          <w:sz w:val="22"/>
          <w:szCs w:val="22"/>
        </w:rPr>
        <w:t xml:space="preserve">Stores detected conflicts (between brain entries, between decisions, between actions). Fields: id, organisation_id, conflict_type, source_a_type, source_a_id, source_b_type, source_b_id, detected_at, severity, resolution_state (Detected, Acknowledged, Resolved), resolved_by (nullable), resolved_at (nullable), resolution_note (nullable).</w:t>
      </w:r>
    </w:p>
    <w:p>
      <w:pPr>
        <w:pStyle w:val="Heading4"/>
        <w:spacing w:after="80" w:before="200"/>
      </w:pPr>
      <w:r>
        <w:rPr>
          <w:rFonts w:ascii="Arial" w:cs="Arial" w:eastAsia="Arial" w:hAnsi="Arial"/>
          <w:b/>
          <w:bCs/>
          <w:color w:val="5F5E5A"/>
          <w:sz w:val="21"/>
          <w:szCs w:val="21"/>
        </w:rPr>
        <w:t xml:space="preserve">Currently active view (v2 — added)</w:t>
      </w:r>
    </w:p>
    <w:p>
      <w:pPr>
        <w:spacing w:after="120" w:before="80" w:line="320"/>
      </w:pPr>
      <w:r>
        <w:rPr>
          <w:rFonts w:ascii="Arial" w:cs="Arial" w:eastAsia="Arial" w:hAnsi="Arial"/>
          <w:color w:val="1A1A1A"/>
          <w:sz w:val="22"/>
          <w:szCs w:val="22"/>
        </w:rPr>
        <w:t xml:space="preserve">The Ledger surface in the UI defaults to a "Currently active" view that aggregates: founder's pending and in-progress actions; decisions due for outcome logging (decisions where outcome has not yet been logged but the typical outcome window has passed); unresolved conflicts; decay-flagged items (actions or decisions that have been static for too long given their stakes); expert-owned actions where the expert has not yet acted. This view is implemented as a query, not a separate table; it is computed on demand from the underlying decisions, actions, and conflicts tables.</w:t>
      </w:r>
    </w:p>
    <w:p>
      <w:pPr>
        <w:pStyle w:val="Heading3"/>
        <w:spacing w:after="100" w:before="280"/>
      </w:pPr>
      <w:r>
        <w:rPr>
          <w:rFonts w:ascii="Arial" w:cs="Arial" w:eastAsia="Arial" w:hAnsi="Arial"/>
          <w:b/>
          <w:bCs/>
          <w:color w:val="1A1A1A"/>
          <w:sz w:val="23"/>
          <w:szCs w:val="23"/>
        </w:rPr>
        <w:t xml:space="preserve">4.3.4 Brain (structured layer)</w:t>
      </w:r>
    </w:p>
    <w:p>
      <w:pPr>
        <w:spacing w:after="120" w:before="80" w:line="320"/>
      </w:pPr>
      <w:r>
        <w:rPr>
          <w:rFonts w:ascii="Arial" w:cs="Arial" w:eastAsia="Arial" w:hAnsi="Arial"/>
          <w:color w:val="1A1A1A"/>
          <w:sz w:val="22"/>
          <w:szCs w:val="22"/>
        </w:rPr>
        <w:t xml:space="preserve">The structured layer of the brain holds factual business state. The vector store and graph database supplement it; the structured store is the system of record for facts the platform asserts.</w:t>
      </w:r>
    </w:p>
    <w:p>
      <w:pPr>
        <w:pStyle w:val="Heading3"/>
        <w:spacing w:after="100" w:before="280"/>
      </w:pPr>
      <w:r>
        <w:rPr>
          <w:rFonts w:ascii="Arial" w:cs="Arial" w:eastAsia="Arial" w:hAnsi="Arial"/>
          <w:b/>
          <w:bCs/>
          <w:color w:val="1A1A1A"/>
          <w:sz w:val="23"/>
          <w:szCs w:val="23"/>
        </w:rPr>
        <w:t xml:space="preserve">4.3.5 Agent definitions and instances</w:t>
      </w:r>
    </w:p>
    <w:p>
      <w:pPr>
        <w:pStyle w:val="Heading3"/>
        <w:spacing w:after="100" w:before="280"/>
      </w:pPr>
      <w:r>
        <w:rPr>
          <w:rFonts w:ascii="Arial" w:cs="Arial" w:eastAsia="Arial" w:hAnsi="Arial"/>
          <w:b/>
          <w:bCs/>
          <w:color w:val="1A1A1A"/>
          <w:sz w:val="23"/>
          <w:szCs w:val="23"/>
        </w:rPr>
        <w:t xml:space="preserve">4.3.6 Marketplace (v2 — expanded)</w:t>
      </w:r>
    </w:p>
    <w:p>
      <w:pPr>
        <w:spacing w:after="120" w:before="80" w:line="320"/>
      </w:pPr>
      <w:r>
        <w:rPr>
          <w:rFonts w:ascii="Arial" w:cs="Arial" w:eastAsia="Arial" w:hAnsi="Arial"/>
          <w:color w:val="1A1A1A"/>
          <w:sz w:val="22"/>
          <w:szCs w:val="22"/>
        </w:rPr>
        <w:t xml:space="preserve">The marketplace schema covers agents, experts, bookings, ratings, and economics. v2 expands this substantially to support the three-layer architecture, multiple billing models, hire-and-fire architecture, multi-dimensional ratings, and pricing rules.</w:t>
      </w:r>
    </w:p>
    <w:p>
      <w:pPr>
        <w:pStyle w:val="Heading4"/>
        <w:spacing w:after="80" w:before="200"/>
      </w:pPr>
      <w:r>
        <w:rPr>
          <w:rFonts w:ascii="Arial" w:cs="Arial" w:eastAsia="Arial" w:hAnsi="Arial"/>
          <w:b/>
          <w:bCs/>
          <w:color w:val="5F5E5A"/>
          <w:sz w:val="21"/>
          <w:szCs w:val="21"/>
        </w:rPr>
        <w:t xml:space="preserve">Marketplace agents table</w:t>
      </w:r>
    </w:p>
    <w:p>
      <w:pPr>
        <w:spacing w:after="120" w:before="80" w:line="320"/>
      </w:pPr>
      <w:r>
        <w:rPr>
          <w:rFonts w:ascii="Arial" w:cs="Arial" w:eastAsia="Arial" w:hAnsi="Arial"/>
          <w:color w:val="1A1A1A"/>
          <w:sz w:val="22"/>
          <w:szCs w:val="22"/>
        </w:rPr>
        <w:t xml:space="preserve">Fields: id, name, persona_definition_id, vendor_id (Anthropic-owned vs third-party — third-party is v3), category (CFO, CMO, CRO, Marketing Specialist, Legal, etc.), trust_tier, billing_model (per_month_subscription, per_use, per_token, per_day), price_per_unit, currency, scoped_context_pattern (the JSON schema of context the specialist requires when invoked), retired_at (nullable).</w:t>
      </w:r>
    </w:p>
    <w:p>
      <w:pPr>
        <w:pStyle w:val="Heading4"/>
        <w:spacing w:after="80" w:before="200"/>
      </w:pPr>
      <w:r>
        <w:rPr>
          <w:rFonts w:ascii="Arial" w:cs="Arial" w:eastAsia="Arial" w:hAnsi="Arial"/>
          <w:b/>
          <w:bCs/>
          <w:color w:val="5F5E5A"/>
          <w:sz w:val="21"/>
          <w:szCs w:val="21"/>
        </w:rPr>
        <w:t xml:space="preserve">Human experts table</w:t>
      </w:r>
    </w:p>
    <w:p>
      <w:pPr>
        <w:spacing w:after="120" w:before="80" w:line="320"/>
      </w:pPr>
      <w:r>
        <w:rPr>
          <w:rFonts w:ascii="Arial" w:cs="Arial" w:eastAsia="Arial" w:hAnsi="Arial"/>
          <w:color w:val="1A1A1A"/>
          <w:sz w:val="22"/>
          <w:szCs w:val="22"/>
        </w:rPr>
        <w:t xml:space="preserve">Fields: id, name, linkedin_url (verification anchor), specialties (array), trust_tier, billing_models (array of per_hour, per_week_40hr, per_month_160hr), price_per_hour, price_per_week, price_per_month, currency, availability_calendar_id, status (active, paused, terminated), invited_by, invited_at, terminated_at (nullable).</w:t>
      </w:r>
    </w:p>
    <w:p>
      <w:pPr>
        <w:pStyle w:val="Heading4"/>
        <w:spacing w:after="80" w:before="200"/>
      </w:pPr>
      <w:r>
        <w:rPr>
          <w:rFonts w:ascii="Arial" w:cs="Arial" w:eastAsia="Arial" w:hAnsi="Arial"/>
          <w:b/>
          <w:bCs/>
          <w:color w:val="5F5E5A"/>
          <w:sz w:val="21"/>
          <w:szCs w:val="21"/>
        </w:rPr>
        <w:t xml:space="preserve">Engagements table</w:t>
      </w:r>
    </w:p>
    <w:p>
      <w:pPr>
        <w:spacing w:after="120" w:before="80" w:line="320"/>
      </w:pPr>
      <w:r>
        <w:rPr>
          <w:rFonts w:ascii="Arial" w:cs="Arial" w:eastAsia="Arial" w:hAnsi="Arial"/>
          <w:color w:val="1A1A1A"/>
          <w:sz w:val="22"/>
          <w:szCs w:val="22"/>
        </w:rPr>
        <w:t xml:space="preserve">Tracks active relationships between founders and marketplace agents/experts. Fields: id, organisation_id, agent_id (nullable), expert_id (nullable, exclusive with agent_id), engaged_at, terminated_at (nullable), termination_reason (nullable, when fired), billing_model_at_engagement, price_at_engagement.</w:t>
      </w:r>
    </w:p>
    <w:p>
      <w:pPr>
        <w:pStyle w:val="Heading4"/>
        <w:spacing w:after="80" w:before="200"/>
      </w:pPr>
      <w:r>
        <w:rPr>
          <w:rFonts w:ascii="Arial" w:cs="Arial" w:eastAsia="Arial" w:hAnsi="Arial"/>
          <w:b/>
          <w:bCs/>
          <w:color w:val="5F5E5A"/>
          <w:sz w:val="21"/>
          <w:szCs w:val="21"/>
        </w:rPr>
        <w:t xml:space="preserve">Hire-and-fire architecture (v2)</w:t>
      </w:r>
    </w:p>
    <w:p>
      <w:pPr>
        <w:spacing w:after="120" w:before="80" w:line="320"/>
      </w:pPr>
      <w:r>
        <w:rPr>
          <w:rFonts w:ascii="Arial" w:cs="Arial" w:eastAsia="Arial" w:hAnsi="Arial"/>
          <w:color w:val="1A1A1A"/>
          <w:sz w:val="22"/>
          <w:szCs w:val="22"/>
        </w:rPr>
        <w:t xml:space="preserve">When an agent or expert is fired (terminated_at set), prior contributions remain in the brain and ledger as institutional memory. A replacement reads the history. Prior reasoning state of the fired agent/expert is private (vendor IP); the founder gets the contributions and conclusions, not the reasoning chain. This is enforced at the data layer: contribution records and reasoning records are separate tables; reasoning records are not exposed via founder APIs.</w:t>
      </w:r>
    </w:p>
    <w:p>
      <w:pPr>
        <w:pStyle w:val="Heading4"/>
        <w:spacing w:after="80" w:before="200"/>
      </w:pPr>
      <w:r>
        <w:rPr>
          <w:rFonts w:ascii="Arial" w:cs="Arial" w:eastAsia="Arial" w:hAnsi="Arial"/>
          <w:b/>
          <w:bCs/>
          <w:color w:val="5F5E5A"/>
          <w:sz w:val="21"/>
          <w:szCs w:val="21"/>
        </w:rPr>
        <w:t xml:space="preserve">Ratings table (v2 — multi-dimensional)</w:t>
      </w:r>
    </w:p>
    <w:p>
      <w:pPr>
        <w:spacing w:after="120" w:before="80" w:line="320"/>
      </w:pPr>
      <w:r>
        <w:rPr>
          <w:rFonts w:ascii="Arial" w:cs="Arial" w:eastAsia="Arial" w:hAnsi="Arial"/>
          <w:color w:val="1A1A1A"/>
          <w:sz w:val="22"/>
          <w:szCs w:val="22"/>
        </w:rPr>
        <w:t xml:space="preserve">Same schema for agents and experts. Fields: id, organisation_id, target_type (agent or expert), target_id, meeting_id (nullable), challenged_assumptions_score (1-5), knew_domain_score (1-5), actionable_score (1-5), would_keep_score (binary). Captured after each meeting where the agent/expert participated.</w:t>
      </w:r>
    </w:p>
    <w:p>
      <w:pPr>
        <w:pStyle w:val="Heading4"/>
        <w:spacing w:after="80" w:before="200"/>
      </w:pPr>
      <w:r>
        <w:rPr>
          <w:rFonts w:ascii="Arial" w:cs="Arial" w:eastAsia="Arial" w:hAnsi="Arial"/>
          <w:b/>
          <w:bCs/>
          <w:color w:val="5F5E5A"/>
          <w:sz w:val="21"/>
          <w:szCs w:val="21"/>
        </w:rPr>
        <w:t xml:space="preserve">Pricing rules table (v2 — added for admin)</w:t>
      </w:r>
    </w:p>
    <w:p>
      <w:pPr>
        <w:spacing w:after="120" w:before="80" w:line="320"/>
      </w:pPr>
      <w:r>
        <w:rPr>
          <w:rFonts w:ascii="Arial" w:cs="Arial" w:eastAsia="Arial" w:hAnsi="Arial"/>
          <w:color w:val="1A1A1A"/>
          <w:sz w:val="22"/>
          <w:szCs w:val="22"/>
        </w:rPr>
        <w:t xml:space="preserve">At v1, simple pricing: one price per target with effective dates. v2 plans per-tier, per-region, promo support; v3 plans dynamic and A/B and cohort. Fields: id, target_type (agent, expert, tier), target_id, price, currency, effective_from, effective_to (nullable), set_by_admin_user_id, set_at.</w:t>
      </w:r>
    </w:p>
    <w:p>
      <w:pPr>
        <w:pStyle w:val="Heading4"/>
        <w:spacing w:after="80" w:before="200"/>
      </w:pPr>
      <w:r>
        <w:rPr>
          <w:rFonts w:ascii="Arial" w:cs="Arial" w:eastAsia="Arial" w:hAnsi="Arial"/>
          <w:b/>
          <w:bCs/>
          <w:color w:val="5F5E5A"/>
          <w:sz w:val="21"/>
          <w:szCs w:val="21"/>
        </w:rPr>
        <w:t xml:space="preserve">Marketplace metering events table</w:t>
      </w:r>
    </w:p>
    <w:p>
      <w:pPr>
        <w:spacing w:after="120" w:before="80" w:line="320"/>
      </w:pPr>
      <w:r>
        <w:rPr>
          <w:rFonts w:ascii="Arial" w:cs="Arial" w:eastAsia="Arial" w:hAnsi="Arial"/>
          <w:color w:val="1A1A1A"/>
          <w:sz w:val="22"/>
          <w:szCs w:val="22"/>
        </w:rPr>
        <w:t xml:space="preserve">Append-only log. Fields: id, organisation_id, target_type (agent or expert), target_id, meeting_id (nullable), billing_model, units_consumed, price_per_unit_at_event, gross_amount, platform_share_amount, expert_share_amount, currency, event_at. Reconciled hourly and daily by the Marketplace Metering Service.</w:t>
      </w:r>
    </w:p>
    <w:p>
      <w:pPr>
        <w:pStyle w:val="Heading3"/>
        <w:spacing w:after="100" w:before="280"/>
      </w:pPr>
      <w:r>
        <w:rPr>
          <w:rFonts w:ascii="Arial" w:cs="Arial" w:eastAsia="Arial" w:hAnsi="Arial"/>
          <w:b/>
          <w:bCs/>
          <w:color w:val="1A1A1A"/>
          <w:sz w:val="23"/>
          <w:szCs w:val="23"/>
        </w:rPr>
        <w:t xml:space="preserve">4.3.7 Routing and providers</w:t>
      </w:r>
    </w:p>
    <w:p>
      <w:pPr>
        <w:spacing w:after="120" w:before="80" w:line="320"/>
      </w:pPr>
      <w:r>
        <w:rPr>
          <w:rFonts w:ascii="Arial" w:cs="Arial" w:eastAsia="Arial" w:hAnsi="Arial"/>
          <w:color w:val="1A1A1A"/>
          <w:sz w:val="22"/>
          <w:szCs w:val="22"/>
        </w:rPr>
        <w:t xml:space="preserve">Per the resolution of Concern 9, the routing layer maintains a bounded provider set, four-tier classification per language, and 75/25 quality-cost weighting with explicit floors. The schema reflects this directly:</w:t>
      </w:r>
    </w:p>
    <w:p>
      <w:pPr>
        <w:spacing w:after="120" w:before="80" w:line="320"/>
      </w:pPr>
      <w:r>
        <w:rPr>
          <w:rFonts w:ascii="Arial" w:cs="Arial" w:eastAsia="Arial" w:hAnsi="Arial"/>
          <w:color w:val="1A1A1A"/>
          <w:sz w:val="22"/>
          <w:szCs w:val="22"/>
        </w:rPr>
        <w:t xml:space="preserve">Every routing decision is logged with full context. The routing_decisions table is high-volume and indexed for analytical queries; it is also a source of truth for billing reconciliation and per-tenant cost attribution.</w:t>
      </w:r>
    </w:p>
    <w:p>
      <w:pPr>
        <w:pStyle w:val="Heading3"/>
        <w:spacing w:after="100" w:before="280"/>
      </w:pPr>
      <w:r>
        <w:rPr>
          <w:rFonts w:ascii="Arial" w:cs="Arial" w:eastAsia="Arial" w:hAnsi="Arial"/>
          <w:b/>
          <w:bCs/>
          <w:color w:val="1A1A1A"/>
          <w:sz w:val="23"/>
          <w:szCs w:val="23"/>
        </w:rPr>
        <w:t xml:space="preserve">4.3.8 Performance and learning</w:t>
      </w:r>
    </w:p>
    <w:p>
      <w:pPr>
        <w:pStyle w:val="Heading3"/>
        <w:spacing w:after="100" w:before="280"/>
      </w:pPr>
      <w:r>
        <w:rPr>
          <w:rFonts w:ascii="Arial" w:cs="Arial" w:eastAsia="Arial" w:hAnsi="Arial"/>
          <w:b/>
          <w:bCs/>
          <w:color w:val="1A1A1A"/>
          <w:sz w:val="23"/>
          <w:szCs w:val="23"/>
        </w:rPr>
        <w:t xml:space="preserve">4.3.9 Billing</w:t>
      </w:r>
    </w:p>
    <w:p>
      <w:pPr>
        <w:pStyle w:val="Heading3"/>
        <w:spacing w:after="100" w:before="280"/>
      </w:pPr>
      <w:r>
        <w:rPr>
          <w:rFonts w:ascii="Arial" w:cs="Arial" w:eastAsia="Arial" w:hAnsi="Arial"/>
          <w:b/>
          <w:bCs/>
          <w:color w:val="1A1A1A"/>
          <w:sz w:val="23"/>
          <w:szCs w:val="23"/>
        </w:rPr>
        <w:t xml:space="preserve">4.3.10 Cross-cutting</w:t>
      </w:r>
    </w:p>
    <w:p>
      <w:pPr>
        <w:pStyle w:val="Heading3"/>
        <w:spacing w:after="100" w:before="280"/>
      </w:pPr>
      <w:r>
        <w:rPr>
          <w:rFonts w:ascii="Arial" w:cs="Arial" w:eastAsia="Arial" w:hAnsi="Arial"/>
          <w:b/>
          <w:bCs/>
          <w:color w:val="1A1A1A"/>
          <w:sz w:val="23"/>
          <w:szCs w:val="23"/>
        </w:rPr>
        <w:t xml:space="preserve">4.3.11 Admin operations (v2 — new)</w:t>
      </w:r>
    </w:p>
    <w:p>
      <w:pPr>
        <w:spacing w:after="120" w:before="80" w:line="320"/>
      </w:pPr>
      <w:r>
        <w:rPr>
          <w:rFonts w:ascii="Arial" w:cs="Arial" w:eastAsia="Arial" w:hAnsi="Arial"/>
          <w:color w:val="1A1A1A"/>
          <w:sz w:val="22"/>
          <w:szCs w:val="22"/>
        </w:rPr>
        <w:t xml:space="preserve">Tables supporting the Admin Console operations. All admin actions are audited.</w:t>
      </w:r>
    </w:p>
    <w:p>
      <w:pPr>
        <w:pStyle w:val="Heading4"/>
        <w:spacing w:after="80" w:before="200"/>
      </w:pPr>
      <w:r>
        <w:rPr>
          <w:rFonts w:ascii="Arial" w:cs="Arial" w:eastAsia="Arial" w:hAnsi="Arial"/>
          <w:b/>
          <w:bCs/>
          <w:color w:val="5F5E5A"/>
          <w:sz w:val="21"/>
          <w:szCs w:val="21"/>
        </w:rPr>
        <w:t xml:space="preserve">Admin users table</w:t>
      </w:r>
    </w:p>
    <w:p>
      <w:pPr>
        <w:spacing w:after="120" w:before="80" w:line="320"/>
      </w:pPr>
      <w:r>
        <w:rPr>
          <w:rFonts w:ascii="Arial" w:cs="Arial" w:eastAsia="Arial" w:hAnsi="Arial"/>
          <w:color w:val="1A1A1A"/>
          <w:sz w:val="22"/>
          <w:szCs w:val="22"/>
        </w:rPr>
        <w:t xml:space="preserve">Fields: id, name, email, role (ops, customer_success, trust_safety, super_admin), permissions (JSON, scoped per role), created_at, deactivated_at (nullable).</w:t>
      </w:r>
    </w:p>
    <w:p>
      <w:pPr>
        <w:pStyle w:val="Heading4"/>
        <w:spacing w:after="80" w:before="200"/>
      </w:pPr>
      <w:r>
        <w:rPr>
          <w:rFonts w:ascii="Arial" w:cs="Arial" w:eastAsia="Arial" w:hAnsi="Arial"/>
          <w:b/>
          <w:bCs/>
          <w:color w:val="5F5E5A"/>
          <w:sz w:val="21"/>
          <w:szCs w:val="21"/>
        </w:rPr>
        <w:t xml:space="preserve">Admin audit log</w:t>
      </w:r>
    </w:p>
    <w:p>
      <w:pPr>
        <w:spacing w:after="120" w:before="80" w:line="320"/>
      </w:pPr>
      <w:r>
        <w:rPr>
          <w:rFonts w:ascii="Arial" w:cs="Arial" w:eastAsia="Arial" w:hAnsi="Arial"/>
          <w:color w:val="1A1A1A"/>
          <w:sz w:val="22"/>
          <w:szCs w:val="22"/>
        </w:rPr>
        <w:t xml:space="preserve">Append-only. Fields: id, admin_user_id, action_type, target_type (founder_account, agent, expert, content, pricing_rule, etc.), target_id, action_payload (JSON), performed_at, justification (free text, encouraged for sensitive actions).</w:t>
      </w:r>
    </w:p>
    <w:p>
      <w:pPr>
        <w:pStyle w:val="Heading4"/>
        <w:spacing w:after="80" w:before="200"/>
      </w:pPr>
      <w:r>
        <w:rPr>
          <w:rFonts w:ascii="Arial" w:cs="Arial" w:eastAsia="Arial" w:hAnsi="Arial"/>
          <w:b/>
          <w:bCs/>
          <w:color w:val="5F5E5A"/>
          <w:sz w:val="21"/>
          <w:szCs w:val="21"/>
        </w:rPr>
        <w:t xml:space="preserve">Founder support sessions</w:t>
      </w:r>
    </w:p>
    <w:p>
      <w:pPr>
        <w:spacing w:after="120" w:before="80" w:line="320"/>
      </w:pPr>
      <w:r>
        <w:rPr>
          <w:rFonts w:ascii="Arial" w:cs="Arial" w:eastAsia="Arial" w:hAnsi="Arial"/>
          <w:color w:val="1A1A1A"/>
          <w:sz w:val="22"/>
          <w:szCs w:val="22"/>
        </w:rPr>
        <w:t xml:space="preserve">Tracks consent-gated founder support interactions. Fields: id, admin_user_id, organisation_id, support_type (meeting_view, brain_view, ledger_view, billing_action, account_action), consent_obtained_at, consent_method (per_incident or always_allow), consent_token (hash for verification), session_started_at, session_ended_at, actions_taken (JSON summary).</w:t>
      </w:r>
    </w:p>
    <w:p>
      <w:pPr>
        <w:pStyle w:val="Heading4"/>
        <w:spacing w:after="80" w:before="200"/>
      </w:pPr>
      <w:r>
        <w:rPr>
          <w:rFonts w:ascii="Arial" w:cs="Arial" w:eastAsia="Arial" w:hAnsi="Arial"/>
          <w:b/>
          <w:bCs/>
          <w:color w:val="5F5E5A"/>
          <w:sz w:val="21"/>
          <w:szCs w:val="21"/>
        </w:rPr>
        <w:t xml:space="preserve">Content moderation queue</w:t>
      </w:r>
    </w:p>
    <w:p>
      <w:pPr>
        <w:spacing w:after="120" w:before="80" w:line="320"/>
      </w:pPr>
      <w:r>
        <w:rPr>
          <w:rFonts w:ascii="Arial" w:cs="Arial" w:eastAsia="Arial" w:hAnsi="Arial"/>
          <w:color w:val="1A1A1A"/>
          <w:sz w:val="22"/>
          <w:szCs w:val="22"/>
        </w:rPr>
        <w:t xml:space="preserve">Items flagged for review. Fields: id, content_type (brain_entry, meeting_transcript, marketplace_listing, etc.), content_id, flagged_by (system_signal or user_report), flagged_at, severity, reviewed_by_admin_user_id (nullable), reviewed_at (nullable), action_taken (none, redacted, removed, escalated), action_note.</w:t>
      </w:r>
    </w:p>
    <w:p>
      <w:pPr>
        <w:pStyle w:val="Heading4"/>
        <w:spacing w:after="80" w:before="200"/>
      </w:pPr>
      <w:r>
        <w:rPr>
          <w:rFonts w:ascii="Arial" w:cs="Arial" w:eastAsia="Arial" w:hAnsi="Arial"/>
          <w:b/>
          <w:bCs/>
          <w:color w:val="5F5E5A"/>
          <w:sz w:val="21"/>
          <w:szCs w:val="21"/>
        </w:rPr>
        <w:t xml:space="preserve">Quality monitoring snapshots</w:t>
      </w:r>
    </w:p>
    <w:p>
      <w:pPr>
        <w:spacing w:after="120" w:before="80" w:line="320"/>
      </w:pPr>
      <w:r>
        <w:rPr>
          <w:rFonts w:ascii="Arial" w:cs="Arial" w:eastAsia="Arial" w:hAnsi="Arial"/>
          <w:color w:val="1A1A1A"/>
          <w:sz w:val="22"/>
          <w:szCs w:val="22"/>
        </w:rPr>
        <w:t xml:space="preserve">Periodic captures of agent and expert performance signals for the admin quality dashboard. Fields: id, target_type, target_id, snapshot_at, signals (JSON containing the six quality signals from the Performance Service), summary_state.</w:t>
      </w:r>
    </w:p>
    <w:p>
      <w:pPr>
        <w:pStyle w:val="Heading2"/>
        <w:spacing w:after="140" w:before="360"/>
      </w:pPr>
      <w:r>
        <w:rPr>
          <w:rFonts w:ascii="Arial" w:cs="Arial" w:eastAsia="Arial" w:hAnsi="Arial"/>
          <w:b/>
          <w:bCs/>
          <w:color w:val="1A1A1A"/>
          <w:sz w:val="28"/>
          <w:szCs w:val="28"/>
        </w:rPr>
        <w:t xml:space="preserve">4.4 The vector store schema</w:t>
      </w:r>
    </w:p>
    <w:p>
      <w:pPr>
        <w:spacing w:after="120" w:before="80" w:line="320"/>
      </w:pPr>
      <w:r>
        <w:rPr>
          <w:rFonts w:ascii="Arial" w:cs="Arial" w:eastAsia="Arial" w:hAnsi="Arial"/>
          <w:color w:val="1A1A1A"/>
          <w:sz w:val="22"/>
          <w:szCs w:val="22"/>
        </w:rPr>
        <w:t xml:space="preserve">The vector store holds embeddings for semantic retrieval. Each tenant has its own namespace. Within a namespace, embeddings are tagged by source so retrieval can scope to specific subsets:</w:t>
      </w:r>
    </w:p>
    <w:p>
      <w:pPr>
        <w:spacing w:after="120" w:before="80" w:line="320"/>
      </w:pPr>
      <w:r>
        <w:rPr>
          <w:rFonts w:ascii="Arial" w:cs="Arial" w:eastAsia="Arial" w:hAnsi="Arial"/>
          <w:color w:val="1A1A1A"/>
          <w:sz w:val="22"/>
          <w:szCs w:val="22"/>
        </w:rPr>
        <w:t xml:space="preserve">Multilingual embeddings use a model that supports the launch languages (multilingual-E5 or equivalent in v1; replaced as better models ship). Cross-language retrieval works because embeddings of the same concept in different languages cluster together in the embedding space.</w:t>
      </w:r>
    </w:p>
    <w:p>
      <w:pPr>
        <w:pStyle w:val="Heading2"/>
        <w:spacing w:after="140" w:before="360"/>
      </w:pPr>
      <w:r>
        <w:rPr>
          <w:rFonts w:ascii="Arial" w:cs="Arial" w:eastAsia="Arial" w:hAnsi="Arial"/>
          <w:b/>
          <w:bCs/>
          <w:color w:val="1A1A1A"/>
          <w:sz w:val="28"/>
          <w:szCs w:val="28"/>
        </w:rPr>
        <w:t xml:space="preserve">4.5 The graph database schema</w:t>
      </w:r>
    </w:p>
    <w:p>
      <w:pPr>
        <w:spacing w:after="120" w:before="80" w:line="320"/>
      </w:pPr>
      <w:r>
        <w:rPr>
          <w:rFonts w:ascii="Arial" w:cs="Arial" w:eastAsia="Arial" w:hAnsi="Arial"/>
          <w:color w:val="1A1A1A"/>
          <w:sz w:val="22"/>
          <w:szCs w:val="22"/>
        </w:rPr>
        <w:t xml:space="preserve">The graph database holds the relationship layer of the brain. Nodes and edges are typed; each tenant has its own logical database.</w:t>
      </w:r>
    </w:p>
    <w:p>
      <w:pPr>
        <w:pStyle w:val="Heading3"/>
        <w:spacing w:after="100" w:before="280"/>
      </w:pPr>
      <w:r>
        <w:rPr>
          <w:rFonts w:ascii="Arial" w:cs="Arial" w:eastAsia="Arial" w:hAnsi="Arial"/>
          <w:b/>
          <w:bCs/>
          <w:color w:val="1A1A1A"/>
          <w:sz w:val="23"/>
          <w:szCs w:val="23"/>
        </w:rPr>
        <w:t xml:space="preserve">4.5.1 Node types</w:t>
      </w:r>
    </w:p>
    <w:p>
      <w:pPr>
        <w:spacing w:after="120" w:before="80" w:line="320"/>
      </w:pPr>
      <w:r>
        <w:rPr>
          <w:rFonts w:ascii="Arial" w:cs="Arial" w:eastAsia="Arial" w:hAnsi="Arial"/>
          <w:color w:val="1A1A1A"/>
          <w:sz w:val="22"/>
          <w:szCs w:val="22"/>
        </w:rPr>
        <w:t xml:space="preserve">Person — individuals connected to the business (team, customers, advisors, contacts). Properties: name, role, organisation, last_interaction_at.</w:t>
      </w:r>
    </w:p>
    <w:p>
      <w:pPr>
        <w:spacing w:after="120" w:before="80" w:line="320"/>
      </w:pPr>
      <w:r>
        <w:rPr>
          <w:rFonts w:ascii="Arial" w:cs="Arial" w:eastAsia="Arial" w:hAnsi="Arial"/>
          <w:color w:val="1A1A1A"/>
          <w:sz w:val="22"/>
          <w:szCs w:val="22"/>
        </w:rPr>
        <w:t xml:space="preserve">Organisation — customers, partners, suppliers, competitors, investors. Properties: name, type, segment, status.</w:t>
      </w:r>
    </w:p>
    <w:p>
      <w:pPr>
        <w:spacing w:after="120" w:before="80" w:line="320"/>
      </w:pPr>
      <w:r>
        <w:rPr>
          <w:rFonts w:ascii="Arial" w:cs="Arial" w:eastAsia="Arial" w:hAnsi="Arial"/>
          <w:color w:val="1A1A1A"/>
          <w:sz w:val="22"/>
          <w:szCs w:val="22"/>
        </w:rPr>
        <w:t xml:space="preserve">Product — the founder’s products and services, plus competitive products. Properties: name, owner_organisation, status.</w:t>
      </w:r>
    </w:p>
    <w:p>
      <w:pPr>
        <w:spacing w:after="120" w:before="80" w:line="320"/>
      </w:pPr>
      <w:r>
        <w:rPr>
          <w:rFonts w:ascii="Arial" w:cs="Arial" w:eastAsia="Arial" w:hAnsi="Arial"/>
          <w:color w:val="1A1A1A"/>
          <w:sz w:val="22"/>
          <w:szCs w:val="22"/>
        </w:rPr>
        <w:t xml:space="preserve">Decision — mirror of decisions in the ledger; included as a node so the relationship graph can reason about which decisions touch which entities.</w:t>
      </w:r>
    </w:p>
    <w:p>
      <w:pPr>
        <w:spacing w:after="120" w:before="80" w:line="320"/>
      </w:pPr>
      <w:r>
        <w:rPr>
          <w:rFonts w:ascii="Arial" w:cs="Arial" w:eastAsia="Arial" w:hAnsi="Arial"/>
          <w:color w:val="1A1A1A"/>
          <w:sz w:val="22"/>
          <w:szCs w:val="22"/>
        </w:rPr>
        <w:t xml:space="preserve">Goal — mirror of goals in the structured store.</w:t>
      </w:r>
    </w:p>
    <w:p>
      <w:pPr>
        <w:spacing w:after="120" w:before="80" w:line="320"/>
      </w:pPr>
      <w:r>
        <w:rPr>
          <w:rFonts w:ascii="Arial" w:cs="Arial" w:eastAsia="Arial" w:hAnsi="Arial"/>
          <w:color w:val="1A1A1A"/>
          <w:sz w:val="22"/>
          <w:szCs w:val="22"/>
        </w:rPr>
        <w:t xml:space="preserve">Risk — mirror of risks in the structured store.</w:t>
      </w:r>
    </w:p>
    <w:p>
      <w:pPr>
        <w:spacing w:after="120" w:before="80" w:line="320"/>
      </w:pPr>
      <w:r>
        <w:rPr>
          <w:rFonts w:ascii="Arial" w:cs="Arial" w:eastAsia="Arial" w:hAnsi="Arial"/>
          <w:color w:val="1A1A1A"/>
          <w:sz w:val="22"/>
          <w:szCs w:val="22"/>
        </w:rPr>
        <w:t xml:space="preserve">Segment — customer or market segments.</w:t>
      </w:r>
    </w:p>
    <w:p>
      <w:pPr>
        <w:spacing w:after="120" w:before="80" w:line="320"/>
      </w:pPr>
      <w:r>
        <w:rPr>
          <w:rFonts w:ascii="Arial" w:cs="Arial" w:eastAsia="Arial" w:hAnsi="Arial"/>
          <w:color w:val="1A1A1A"/>
          <w:sz w:val="22"/>
          <w:szCs w:val="22"/>
        </w:rPr>
        <w:t xml:space="preserve">Outcome — logged outcomes of decisions, used to trace cause and effect.</w:t>
      </w:r>
    </w:p>
    <w:p>
      <w:pPr>
        <w:pStyle w:val="Heading3"/>
        <w:spacing w:after="100" w:before="280"/>
      </w:pPr>
      <w:r>
        <w:rPr>
          <w:rFonts w:ascii="Arial" w:cs="Arial" w:eastAsia="Arial" w:hAnsi="Arial"/>
          <w:b/>
          <w:bCs/>
          <w:color w:val="1A1A1A"/>
          <w:sz w:val="23"/>
          <w:szCs w:val="23"/>
        </w:rPr>
        <w:t xml:space="preserve">4.5.2 Edge types</w:t>
      </w:r>
    </w:p>
    <w:p>
      <w:pPr>
        <w:spacing w:after="120" w:before="80" w:line="320"/>
      </w:pPr>
      <w:r>
        <w:rPr>
          <w:rFonts w:ascii="Arial" w:cs="Arial" w:eastAsia="Arial" w:hAnsi="Arial"/>
          <w:color w:val="1A1A1A"/>
          <w:sz w:val="22"/>
          <w:szCs w:val="22"/>
        </w:rPr>
        <w:t xml:space="preserve">REPRESENTS — connects a Person to an Organisation they work for</w:t>
      </w:r>
    </w:p>
    <w:p>
      <w:pPr>
        <w:spacing w:after="120" w:before="80" w:line="320"/>
      </w:pPr>
      <w:r>
        <w:rPr>
          <w:rFonts w:ascii="Arial" w:cs="Arial" w:eastAsia="Arial" w:hAnsi="Arial"/>
          <w:color w:val="1A1A1A"/>
          <w:sz w:val="22"/>
          <w:szCs w:val="22"/>
        </w:rPr>
        <w:t xml:space="preserve">OFFERS — connects an Organisation to a Product</w:t>
      </w:r>
    </w:p>
    <w:p>
      <w:pPr>
        <w:spacing w:after="120" w:before="80" w:line="320"/>
      </w:pPr>
      <w:r>
        <w:rPr>
          <w:rFonts w:ascii="Arial" w:cs="Arial" w:eastAsia="Arial" w:hAnsi="Arial"/>
          <w:color w:val="1A1A1A"/>
          <w:sz w:val="22"/>
          <w:szCs w:val="22"/>
        </w:rPr>
        <w:t xml:space="preserve">COMPETES_WITH — between Products or Organisations</w:t>
      </w:r>
    </w:p>
    <w:p>
      <w:pPr>
        <w:spacing w:after="120" w:before="80" w:line="320"/>
      </w:pPr>
      <w:r>
        <w:rPr>
          <w:rFonts w:ascii="Arial" w:cs="Arial" w:eastAsia="Arial" w:hAnsi="Arial"/>
          <w:color w:val="1A1A1A"/>
          <w:sz w:val="22"/>
          <w:szCs w:val="22"/>
        </w:rPr>
        <w:t xml:space="preserve">TARGETS — connects a Product to a Segment</w:t>
      </w:r>
    </w:p>
    <w:p>
      <w:pPr>
        <w:spacing w:after="120" w:before="80" w:line="320"/>
      </w:pPr>
      <w:r>
        <w:rPr>
          <w:rFonts w:ascii="Arial" w:cs="Arial" w:eastAsia="Arial" w:hAnsi="Arial"/>
          <w:color w:val="1A1A1A"/>
          <w:sz w:val="22"/>
          <w:szCs w:val="22"/>
        </w:rPr>
        <w:t xml:space="preserve">TOUCHES — connects a Decision to any entity (Person, Organisation, Product, Goal, Risk)</w:t>
      </w:r>
    </w:p>
    <w:p>
      <w:pPr>
        <w:spacing w:after="120" w:before="80" w:line="320"/>
      </w:pPr>
      <w:r>
        <w:rPr>
          <w:rFonts w:ascii="Arial" w:cs="Arial" w:eastAsia="Arial" w:hAnsi="Arial"/>
          <w:color w:val="1A1A1A"/>
          <w:sz w:val="22"/>
          <w:szCs w:val="22"/>
        </w:rPr>
        <w:t xml:space="preserve">SUPERSEDES — connects Decision to Decision (mirrors the structured store)</w:t>
      </w:r>
    </w:p>
    <w:p>
      <w:pPr>
        <w:spacing w:after="120" w:before="80" w:line="320"/>
      </w:pPr>
      <w:r>
        <w:rPr>
          <w:rFonts w:ascii="Arial" w:cs="Arial" w:eastAsia="Arial" w:hAnsi="Arial"/>
          <w:color w:val="1A1A1A"/>
          <w:sz w:val="22"/>
          <w:szCs w:val="22"/>
        </w:rPr>
        <w:t xml:space="preserve">PRODUCED — connects Decision to Outcome</w:t>
      </w:r>
    </w:p>
    <w:p>
      <w:pPr>
        <w:spacing w:after="120" w:before="80" w:line="320"/>
      </w:pPr>
      <w:r>
        <w:rPr>
          <w:rFonts w:ascii="Arial" w:cs="Arial" w:eastAsia="Arial" w:hAnsi="Arial"/>
          <w:color w:val="1A1A1A"/>
          <w:sz w:val="22"/>
          <w:szCs w:val="22"/>
        </w:rPr>
        <w:t xml:space="preserve">OWNS — connects a User to a Goal or Risk</w:t>
      </w:r>
    </w:p>
    <w:p>
      <w:pPr>
        <w:spacing w:after="120" w:before="80" w:line="320"/>
      </w:pPr>
      <w:r>
        <w:rPr>
          <w:rFonts w:ascii="Arial" w:cs="Arial" w:eastAsia="Arial" w:hAnsi="Arial"/>
          <w:color w:val="1A1A1A"/>
          <w:sz w:val="22"/>
          <w:szCs w:val="22"/>
        </w:rPr>
        <w:t xml:space="preserve">REPORTS_TO — between Persons within an Organisation</w:t>
      </w:r>
    </w:p>
    <w:p>
      <w:pPr>
        <w:spacing w:after="120" w:before="80" w:line="320"/>
      </w:pPr>
      <w:r>
        <w:rPr>
          <w:rFonts w:ascii="Arial" w:cs="Arial" w:eastAsia="Arial" w:hAnsi="Arial"/>
          <w:color w:val="1A1A1A"/>
          <w:sz w:val="22"/>
          <w:szCs w:val="22"/>
        </w:rPr>
        <w:t xml:space="preserve">The graph is queried for relationship questions the structured store cannot answer cleanly: "who at competitor X have we ever interacted with"; "what decisions have touched our enterprise segment"; "what risks are owned by people we have not heard from in 30 days." The graph supplements the structured store; it does not replace it.</w:t>
      </w:r>
    </w:p>
    <w:p>
      <w:pPr>
        <w:pStyle w:val="Heading2"/>
        <w:spacing w:after="140" w:before="360"/>
      </w:pPr>
      <w:r>
        <w:rPr>
          <w:rFonts w:ascii="Arial" w:cs="Arial" w:eastAsia="Arial" w:hAnsi="Arial"/>
          <w:b/>
          <w:bCs/>
          <w:color w:val="1A1A1A"/>
          <w:sz w:val="28"/>
          <w:szCs w:val="28"/>
        </w:rPr>
        <w:t xml:space="preserve">4.6 Multilingual data handling</w:t>
      </w:r>
    </w:p>
    <w:p>
      <w:pPr>
        <w:spacing w:after="120" w:before="80" w:line="320"/>
      </w:pPr>
      <w:r>
        <w:rPr>
          <w:rFonts w:ascii="Arial" w:cs="Arial" w:eastAsia="Arial" w:hAnsi="Arial"/>
          <w:color w:val="1A1A1A"/>
          <w:sz w:val="22"/>
          <w:szCs w:val="22"/>
        </w:rPr>
        <w:t xml:space="preserve">Per the Platform Specification, brain content is stored in two forms: the canonical record in the source language (immutable) and an English-pivot derived form (regenerated when translation quality improves). The schema supports this directly:</w:t>
      </w:r>
    </w:p>
    <w:p>
      <w:pPr>
        <w:spacing w:after="120" w:before="80" w:line="320"/>
      </w:pPr>
      <w:r>
        <w:rPr>
          <w:rFonts w:ascii="Arial" w:cs="Arial" w:eastAsia="Arial" w:hAnsi="Arial"/>
          <w:color w:val="1A1A1A"/>
          <w:sz w:val="22"/>
          <w:szCs w:val="22"/>
        </w:rPr>
        <w:t xml:space="preserve">CREATE TABLE brain_content_canonical (</w:t>
      </w:r>
    </w:p>
    <w:p>
      <w:pPr>
        <w:spacing w:after="120" w:before="80" w:line="320"/>
      </w:pPr>
      <w:r>
        <w:rPr>
          <w:rFonts w:ascii="Arial" w:cs="Arial" w:eastAsia="Arial" w:hAnsi="Arial"/>
          <w:color w:val="1A1A1A"/>
          <w:sz w:val="22"/>
          <w:szCs w:val="22"/>
        </w:rPr>
        <w:t xml:space="preserve">  id UUID PRIMARY KEY,</w:t>
      </w:r>
    </w:p>
    <w:p>
      <w:pPr>
        <w:spacing w:after="120" w:before="80" w:line="320"/>
      </w:pPr>
      <w:r>
        <w:rPr>
          <w:rFonts w:ascii="Arial" w:cs="Arial" w:eastAsia="Arial" w:hAnsi="Arial"/>
          <w:color w:val="1A1A1A"/>
          <w:sz w:val="22"/>
          <w:szCs w:val="22"/>
        </w:rPr>
        <w:t xml:space="preserve">  tenant_id UUID NOT NULL,</w:t>
      </w:r>
    </w:p>
    <w:p>
      <w:pPr>
        <w:spacing w:after="120" w:before="80" w:line="320"/>
      </w:pPr>
      <w:r>
        <w:rPr>
          <w:rFonts w:ascii="Arial" w:cs="Arial" w:eastAsia="Arial" w:hAnsi="Arial"/>
          <w:color w:val="1A1A1A"/>
          <w:sz w:val="22"/>
          <w:szCs w:val="22"/>
        </w:rPr>
        <w:t xml:space="preserve">  domain VARCHAR(32) NOT NULL,</w:t>
      </w:r>
    </w:p>
    <w:p>
      <w:pPr>
        <w:spacing w:after="120" w:before="80" w:line="320"/>
      </w:pPr>
      <w:r>
        <w:rPr>
          <w:rFonts w:ascii="Arial" w:cs="Arial" w:eastAsia="Arial" w:hAnsi="Arial"/>
          <w:color w:val="1A1A1A"/>
          <w:sz w:val="22"/>
          <w:szCs w:val="22"/>
        </w:rPr>
        <w:t xml:space="preserve">  language VARCHAR(8) NOT NULL,</w:t>
      </w:r>
    </w:p>
    <w:p>
      <w:pPr>
        <w:spacing w:after="120" w:before="80" w:line="320"/>
      </w:pPr>
      <w:r>
        <w:rPr>
          <w:rFonts w:ascii="Arial" w:cs="Arial" w:eastAsia="Arial" w:hAnsi="Arial"/>
          <w:color w:val="1A1A1A"/>
          <w:sz w:val="22"/>
          <w:szCs w:val="22"/>
        </w:rPr>
        <w:t xml:space="preserve">  content TEXT NOT NULL,</w:t>
      </w:r>
    </w:p>
    <w:p>
      <w:pPr>
        <w:spacing w:after="120" w:before="80" w:line="320"/>
      </w:pPr>
      <w:r>
        <w:rPr>
          <w:rFonts w:ascii="Arial" w:cs="Arial" w:eastAsia="Arial" w:hAnsi="Arial"/>
          <w:color w:val="1A1A1A"/>
          <w:sz w:val="22"/>
          <w:szCs w:val="22"/>
        </w:rPr>
        <w:t xml:space="preserve">  source VARCHAR(32) NOT NULL,</w:t>
      </w:r>
    </w:p>
    <w:p>
      <w:pPr>
        <w:spacing w:after="120" w:before="80" w:line="320"/>
      </w:pPr>
      <w:r>
        <w:rPr>
          <w:rFonts w:ascii="Arial" w:cs="Arial" w:eastAsia="Arial" w:hAnsi="Arial"/>
          <w:color w:val="1A1A1A"/>
          <w:sz w:val="22"/>
          <w:szCs w:val="22"/>
        </w:rPr>
        <w:t xml:space="preserve">  ingested_at TIMESTAMPTZ NOT NULL,</w:t>
      </w:r>
    </w:p>
    <w:p>
      <w:pPr>
        <w:spacing w:after="120" w:before="80" w:line="320"/>
      </w:pPr>
      <w:r>
        <w:rPr>
          <w:rFonts w:ascii="Arial" w:cs="Arial" w:eastAsia="Arial" w:hAnsi="Arial"/>
          <w:color w:val="1A1A1A"/>
          <w:sz w:val="22"/>
          <w:szCs w:val="22"/>
        </w:rPr>
        <w:t xml:space="preserve">  -- Immutable; updates create new rows</w:t>
      </w:r>
    </w:p>
    <w:p>
      <w:pPr>
        <w:spacing w:after="120" w:before="80" w:line="320"/>
      </w:pPr>
      <w:r>
        <w:rPr>
          <w:rFonts w:ascii="Arial" w:cs="Arial" w:eastAsia="Arial" w:hAnsi="Arial"/>
          <w:color w:val="1A1A1A"/>
          <w:sz w:val="22"/>
          <w:szCs w:val="22"/>
        </w:rPr>
        <w:t xml:space="preserve">);</w:t>
      </w:r>
    </w:p>
    <w:p>
      <w:pPr>
        <w:spacing w:after="120" w:before="80" w:line="320"/>
      </w:pPr>
      <w:r>
        <w:rPr>
          <w:rFonts w:ascii="Arial" w:cs="Arial" w:eastAsia="Arial" w:hAnsi="Arial"/>
          <w:color w:val="1A1A1A"/>
          <w:sz w:val="22"/>
          <w:szCs w:val="22"/>
        </w:rPr>
        <w:t xml:space="preserve">CREATE TABLE brain_content_english_pivot (</w:t>
      </w:r>
    </w:p>
    <w:p>
      <w:pPr>
        <w:spacing w:after="120" w:before="80" w:line="320"/>
      </w:pPr>
      <w:r>
        <w:rPr>
          <w:rFonts w:ascii="Arial" w:cs="Arial" w:eastAsia="Arial" w:hAnsi="Arial"/>
          <w:color w:val="1A1A1A"/>
          <w:sz w:val="22"/>
          <w:szCs w:val="22"/>
        </w:rPr>
        <w:t xml:space="preserve">  canonical_id UUID PRIMARY KEY REFERENCES brain_content_canonical(id),</w:t>
      </w:r>
    </w:p>
    <w:p>
      <w:pPr>
        <w:spacing w:after="120" w:before="80" w:line="320"/>
      </w:pPr>
      <w:r>
        <w:rPr>
          <w:rFonts w:ascii="Arial" w:cs="Arial" w:eastAsia="Arial" w:hAnsi="Arial"/>
          <w:color w:val="1A1A1A"/>
          <w:sz w:val="22"/>
          <w:szCs w:val="22"/>
        </w:rPr>
        <w:t xml:space="preserve">  english_content TEXT NOT NULL,</w:t>
      </w:r>
    </w:p>
    <w:p>
      <w:pPr>
        <w:spacing w:after="120" w:before="80" w:line="320"/>
      </w:pPr>
      <w:r>
        <w:rPr>
          <w:rFonts w:ascii="Arial" w:cs="Arial" w:eastAsia="Arial" w:hAnsi="Arial"/>
          <w:color w:val="1A1A1A"/>
          <w:sz w:val="22"/>
          <w:szCs w:val="22"/>
        </w:rPr>
        <w:t xml:space="preserve">  translation_model VARCHAR(64) NOT NULL,</w:t>
      </w:r>
    </w:p>
    <w:p>
      <w:pPr>
        <w:spacing w:after="120" w:before="80" w:line="320"/>
      </w:pPr>
      <w:r>
        <w:rPr>
          <w:rFonts w:ascii="Arial" w:cs="Arial" w:eastAsia="Arial" w:hAnsi="Arial"/>
          <w:color w:val="1A1A1A"/>
          <w:sz w:val="22"/>
          <w:szCs w:val="22"/>
        </w:rPr>
        <w:t xml:space="preserve">  generated_at TIMESTAMPTZ NOT NULL</w:t>
      </w:r>
    </w:p>
    <w:p>
      <w:pPr>
        <w:spacing w:after="120" w:before="80" w:line="320"/>
      </w:pPr>
      <w:r>
        <w:rPr>
          <w:rFonts w:ascii="Arial" w:cs="Arial" w:eastAsia="Arial" w:hAnsi="Arial"/>
          <w:color w:val="1A1A1A"/>
          <w:sz w:val="22"/>
          <w:szCs w:val="22"/>
        </w:rPr>
        <w:t xml:space="preserve">  -- Regenerated when translation models improve</w:t>
      </w:r>
    </w:p>
    <w:p>
      <w:pPr>
        <w:spacing w:after="120" w:before="80" w:line="320"/>
      </w:pPr>
      <w:r>
        <w:rPr>
          <w:rFonts w:ascii="Arial" w:cs="Arial" w:eastAsia="Arial" w:hAnsi="Arial"/>
          <w:color w:val="1A1A1A"/>
          <w:sz w:val="22"/>
          <w:szCs w:val="22"/>
        </w:rPr>
        <w:t xml:space="preserve">);</w:t>
      </w:r>
    </w:p>
    <w:p>
      <w:pPr>
        <w:spacing w:after="120" w:before="80" w:line="320"/>
      </w:pPr>
      <w:r>
        <w:rPr>
          <w:rFonts w:ascii="Arial" w:cs="Arial" w:eastAsia="Arial" w:hAnsi="Arial"/>
          <w:color w:val="1A1A1A"/>
          <w:sz w:val="22"/>
          <w:szCs w:val="22"/>
        </w:rPr>
        <w:t xml:space="preserve">Cross-language retrieval queries the English-pivot table; presentation back to the founder uses the canonical text in their preferred language. Multilingual embeddings index both forms; agents reading from the brain see the canonical content in their working language.</w:t>
      </w:r>
    </w:p>
    <w:p>
      <w:pPr>
        <w:pStyle w:val="Heading2"/>
        <w:spacing w:after="140" w:before="360"/>
      </w:pPr>
      <w:r>
        <w:rPr>
          <w:rFonts w:ascii="Arial" w:cs="Arial" w:eastAsia="Arial" w:hAnsi="Arial"/>
          <w:b/>
          <w:bCs/>
          <w:color w:val="1A1A1A"/>
          <w:sz w:val="28"/>
          <w:szCs w:val="28"/>
        </w:rPr>
        <w:t xml:space="preserve">4.7 Persona versioning</w:t>
      </w:r>
    </w:p>
    <w:p>
      <w:pPr>
        <w:spacing w:after="120" w:before="80" w:line="320"/>
      </w:pPr>
      <w:r>
        <w:rPr>
          <w:rFonts w:ascii="Arial" w:cs="Arial" w:eastAsia="Arial" w:hAnsi="Arial"/>
          <w:color w:val="1A1A1A"/>
          <w:sz w:val="22"/>
          <w:szCs w:val="22"/>
        </w:rPr>
        <w:t xml:space="preserve">Every agent persona is versioned. The agent_definitions table’s primary key is (slug, version), not slug alone. An agent_instance references a specific version, not the latest. When an instance’s persona is updated, the new version is created; the instance can opt-in to the new version or remain on the prior one.</w:t>
      </w:r>
    </w:p>
    <w:p>
      <w:pPr>
        <w:spacing w:after="120" w:before="80" w:line="320"/>
      </w:pPr>
      <w:r>
        <w:rPr>
          <w:rFonts w:ascii="Arial" w:cs="Arial" w:eastAsia="Arial" w:hAnsi="Arial"/>
          <w:color w:val="1A1A1A"/>
          <w:sz w:val="22"/>
          <w:szCs w:val="22"/>
        </w:rPr>
        <w:t xml:space="preserve">Performance signals are attributed to the specific agent_definition version that produced the contribution. This is what makes the learning loop honest — we know exactly which prompt and dispatch logic produced the result we are evaluating.</w:t>
      </w:r>
    </w:p>
    <w:p>
      <w:pPr>
        <w:pStyle w:val="Heading2"/>
        <w:spacing w:after="140" w:before="360"/>
      </w:pPr>
      <w:r>
        <w:rPr>
          <w:rFonts w:ascii="Arial" w:cs="Arial" w:eastAsia="Arial" w:hAnsi="Arial"/>
          <w:b/>
          <w:bCs/>
          <w:color w:val="1A1A1A"/>
          <w:sz w:val="28"/>
          <w:szCs w:val="28"/>
        </w:rPr>
        <w:t xml:space="preserve">4.8 Conflict detection across stores</w:t>
      </w:r>
    </w:p>
    <w:p>
      <w:pPr>
        <w:spacing w:after="120" w:before="80" w:line="320"/>
      </w:pPr>
      <w:r>
        <w:rPr>
          <w:rFonts w:ascii="Arial" w:cs="Arial" w:eastAsia="Arial" w:hAnsi="Arial"/>
          <w:color w:val="1A1A1A"/>
          <w:sz w:val="22"/>
          <w:szCs w:val="22"/>
        </w:rPr>
        <w:t xml:space="preserve">Three classes of conflict detection run continuously:</w:t>
      </w:r>
    </w:p>
    <w:p>
      <w:pPr>
        <w:spacing w:after="120" w:before="80" w:line="320"/>
      </w:pPr>
      <w:r>
        <w:rPr>
          <w:rFonts w:ascii="Arial" w:cs="Arial" w:eastAsia="Arial" w:hAnsi="Arial"/>
          <w:color w:val="1A1A1A"/>
          <w:sz w:val="22"/>
          <w:szCs w:val="22"/>
        </w:rPr>
        <w:t xml:space="preserve">Decision conflicts — when a new decision’s subject overlaps with an active prior decision. Detected via embedding similarity in the vector store and via tag matching on decision_links. Surfaces in the end-of-meeting review.</w:t>
      </w:r>
    </w:p>
    <w:p>
      <w:pPr>
        <w:spacing w:after="120" w:before="80" w:line="320"/>
      </w:pPr>
      <w:r>
        <w:rPr>
          <w:rFonts w:ascii="Arial" w:cs="Arial" w:eastAsia="Arial" w:hAnsi="Arial"/>
          <w:color w:val="1A1A1A"/>
          <w:sz w:val="22"/>
          <w:szCs w:val="22"/>
        </w:rPr>
        <w:t xml:space="preserve">Brain content conflicts — when a new fact contradicts existing facts (the founder says MRR is X; Stripe-imported data says Y). Detected at ingestion time by the Brain Service’s detectConflicts method. Surfaces immediately or in the morning briefing depending on severity.</w:t>
      </w:r>
    </w:p>
    <w:p>
      <w:pPr>
        <w:spacing w:after="120" w:before="80" w:line="320"/>
      </w:pPr>
      <w:r>
        <w:rPr>
          <w:rFonts w:ascii="Arial" w:cs="Arial" w:eastAsia="Arial" w:hAnsi="Arial"/>
          <w:color w:val="1A1A1A"/>
          <w:sz w:val="22"/>
          <w:szCs w:val="22"/>
        </w:rPr>
        <w:t xml:space="preserve">Cross-store consistency — when relationships in the graph database contradict facts in the structured store, or when vector embeddings reference IDs that no longer exist in the structured store. Detected by scheduled consistency sweeps; logged to the conflicts table for resolution.</w:t>
      </w:r>
    </w:p>
    <w:p>
      <w:pPr>
        <w:pStyle w:val="Heading2"/>
        <w:spacing w:after="140" w:before="360"/>
      </w:pPr>
      <w:r>
        <w:rPr>
          <w:rFonts w:ascii="Arial" w:cs="Arial" w:eastAsia="Arial" w:hAnsi="Arial"/>
          <w:b/>
          <w:bCs/>
          <w:color w:val="1A1A1A"/>
          <w:sz w:val="28"/>
          <w:szCs w:val="28"/>
        </w:rPr>
        <w:t xml:space="preserve">4.9 Hard deletion across stores</w:t>
      </w:r>
    </w:p>
    <w:p>
      <w:pPr>
        <w:spacing w:after="120" w:before="80" w:line="320"/>
      </w:pPr>
      <w:r>
        <w:rPr>
          <w:rFonts w:ascii="Arial" w:cs="Arial" w:eastAsia="Arial" w:hAnsi="Arial"/>
          <w:color w:val="1A1A1A"/>
          <w:sz w:val="22"/>
          <w:szCs w:val="22"/>
        </w:rPr>
        <w:t xml:space="preserve">When a tenant requests deletion (via the deletion_requests table), the deletion pipeline runs asynchronously across every store:</w:t>
      </w:r>
    </w:p>
    <w:p>
      <w:pPr>
        <w:spacing w:after="120" w:before="80" w:line="320"/>
      </w:pPr>
      <w:r>
        <w:rPr>
          <w:rFonts w:ascii="Arial" w:cs="Arial" w:eastAsia="Arial" w:hAnsi="Arial"/>
          <w:color w:val="1A1A1A"/>
          <w:sz w:val="22"/>
          <w:szCs w:val="22"/>
        </w:rPr>
        <w:t xml:space="preserve">Postgres: cascade delete from tenants → users → meetings → utterances → ledger → etc. Foreign keys defined with ON DELETE CASCADE for tenant-scoped chains.</w:t>
      </w:r>
    </w:p>
    <w:p>
      <w:pPr>
        <w:spacing w:after="120" w:before="80" w:line="320"/>
      </w:pPr>
      <w:r>
        <w:rPr>
          <w:rFonts w:ascii="Arial" w:cs="Arial" w:eastAsia="Arial" w:hAnsi="Arial"/>
          <w:color w:val="1A1A1A"/>
          <w:sz w:val="22"/>
          <w:szCs w:val="22"/>
        </w:rPr>
        <w:t xml:space="preserve">Vector store: delete the tenant’s namespace.</w:t>
      </w:r>
    </w:p>
    <w:p>
      <w:pPr>
        <w:spacing w:after="120" w:before="80" w:line="320"/>
      </w:pPr>
      <w:r>
        <w:rPr>
          <w:rFonts w:ascii="Arial" w:cs="Arial" w:eastAsia="Arial" w:hAnsi="Arial"/>
          <w:color w:val="1A1A1A"/>
          <w:sz w:val="22"/>
          <w:szCs w:val="22"/>
        </w:rPr>
        <w:t xml:space="preserve">Graph database: drop the tenant’s logical database (or delete all nodes labelled with tenant_id).</w:t>
      </w:r>
    </w:p>
    <w:p>
      <w:pPr>
        <w:spacing w:after="120" w:before="80" w:line="320"/>
      </w:pPr>
      <w:r>
        <w:rPr>
          <w:rFonts w:ascii="Arial" w:cs="Arial" w:eastAsia="Arial" w:hAnsi="Arial"/>
          <w:color w:val="1A1A1A"/>
          <w:sz w:val="22"/>
          <w:szCs w:val="22"/>
        </w:rPr>
        <w:t xml:space="preserve">Redis: delete all keys matching tenant:{tenantId}:*.</w:t>
      </w:r>
    </w:p>
    <w:p>
      <w:pPr>
        <w:spacing w:after="120" w:before="80" w:line="320"/>
      </w:pPr>
      <w:r>
        <w:rPr>
          <w:rFonts w:ascii="Arial" w:cs="Arial" w:eastAsia="Arial" w:hAnsi="Arial"/>
          <w:color w:val="1A1A1A"/>
          <w:sz w:val="22"/>
          <w:szCs w:val="22"/>
        </w:rPr>
        <w:t xml:space="preserve">Object store: delete all objects under the tenant’s prefix; for buckets with object lock or versioning, force purge.</w:t>
      </w:r>
    </w:p>
    <w:p>
      <w:pPr>
        <w:spacing w:after="120" w:before="80" w:line="320"/>
      </w:pPr>
      <w:r>
        <w:rPr>
          <w:rFonts w:ascii="Arial" w:cs="Arial" w:eastAsia="Arial" w:hAnsi="Arial"/>
          <w:color w:val="1A1A1A"/>
          <w:sz w:val="22"/>
          <w:szCs w:val="22"/>
        </w:rPr>
        <w:t xml:space="preserve">Audit log: per regulatory requirement, audit logs are retained for the legal minimum (varies by jurisdiction: GDPR 6 years for some categories) but PII is scrubbed from records older than the deletion request.</w:t>
      </w:r>
    </w:p>
    <w:p>
      <w:pPr>
        <w:spacing w:after="120" w:before="80" w:line="320"/>
      </w:pPr>
      <w:r>
        <w:rPr>
          <w:rFonts w:ascii="Arial" w:cs="Arial" w:eastAsia="Arial" w:hAnsi="Arial"/>
          <w:color w:val="1A1A1A"/>
          <w:sz w:val="22"/>
          <w:szCs w:val="22"/>
        </w:rPr>
        <w:t xml:space="preserve">Backups: backup retention windows mean deleted data persists in backups for the configured retention period (typically 30 days). Documented to founders; deletion certificate confirms when full purge is complete.</w:t>
      </w:r>
    </w:p>
    <w:p>
      <w:pPr>
        <w:spacing w:after="120" w:before="80" w:line="320"/>
      </w:pPr>
      <w:r>
        <w:rPr>
          <w:rFonts w:ascii="Arial" w:cs="Arial" w:eastAsia="Arial" w:hAnsi="Arial"/>
          <w:color w:val="1A1A1A"/>
          <w:sz w:val="22"/>
          <w:szCs w:val="22"/>
        </w:rPr>
        <w:t xml:space="preserve">The deletion request completes when every store confirms purge. The deletion_requests row is updated with completion timestamp and the verification token; a deletion certificate is generated for the founder.</w:t>
      </w:r>
    </w:p>
    <w:p>
      <w:pPr>
        <w:pStyle w:val="Heading2"/>
        <w:spacing w:after="140" w:before="360"/>
      </w:pPr>
      <w:r>
        <w:rPr>
          <w:rFonts w:ascii="Arial" w:cs="Arial" w:eastAsia="Arial" w:hAnsi="Arial"/>
          <w:b/>
          <w:bCs/>
          <w:color w:val="1A1A1A"/>
          <w:sz w:val="28"/>
          <w:szCs w:val="28"/>
        </w:rPr>
        <w:t xml:space="preserve">4.10 Backup and recovery</w:t>
      </w:r>
    </w:p>
    <w:p>
      <w:pPr>
        <w:spacing w:after="120" w:before="80" w:line="320"/>
      </w:pPr>
      <w:r>
        <w:rPr>
          <w:rFonts w:ascii="Arial" w:cs="Arial" w:eastAsia="Arial" w:hAnsi="Arial"/>
          <w:color w:val="1A1A1A"/>
          <w:sz w:val="22"/>
          <w:szCs w:val="22"/>
        </w:rPr>
        <w:t xml:space="preserve">Daily logical backups of Postgres (pg_dump) plus continuous WAL archival for point-in-time recovery within a configurable window (target: 30 days). Vector store backed up via the provider’s native backup. Graph database backed up via Neo4j’s backup tooling. Object store has versioning enabled with lifecycle policies. Redis is treated as ephemeral; recovery from primary store rather than from cache backup.</w:t>
      </w:r>
    </w:p>
    <w:p>
      <w:pPr>
        <w:spacing w:after="120" w:before="80" w:line="320"/>
      </w:pPr>
      <w:r>
        <w:rPr>
          <w:rFonts w:ascii="Arial" w:cs="Arial" w:eastAsia="Arial" w:hAnsi="Arial"/>
          <w:color w:val="1A1A1A"/>
          <w:sz w:val="22"/>
          <w:szCs w:val="22"/>
        </w:rPr>
        <w:t xml:space="preserve">Recovery testing is scheduled quarterly. A DR drill restores the previous day’s backup to a parallel environment, runs verification queries, and confirms RTO and RPO targets. Results are recorded; failures are remediated before the next drill.</w:t>
      </w:r>
    </w:p>
    <w:p>
      <w:pPr>
        <w:pStyle w:val="Heading2"/>
        <w:spacing w:after="140" w:before="360"/>
      </w:pPr>
      <w:r>
        <w:rPr>
          <w:rFonts w:ascii="Arial" w:cs="Arial" w:eastAsia="Arial" w:hAnsi="Arial"/>
          <w:b/>
          <w:bCs/>
          <w:color w:val="1A1A1A"/>
          <w:sz w:val="28"/>
          <w:szCs w:val="28"/>
        </w:rPr>
        <w:t xml:space="preserve">4.11 What this layer locks</w:t>
      </w:r>
    </w:p>
    <w:p>
      <w:pPr>
        <w:spacing w:after="120" w:before="80" w:line="320"/>
      </w:pPr>
      <w:r>
        <w:rPr>
          <w:rFonts w:ascii="Arial" w:cs="Arial" w:eastAsia="Arial" w:hAnsi="Arial"/>
          <w:color w:val="1A1A1A"/>
          <w:sz w:val="22"/>
          <w:szCs w:val="22"/>
        </w:rPr>
        <w:t xml:space="preserve">The five stores: Postgres (system of record), Pinecone or pgvector (vector), Neo4j AuraDB (graph), Redis (cache), S3 or GCS (object store)</w:t>
      </w:r>
    </w:p>
    <w:p>
      <w:pPr>
        <w:spacing w:after="120" w:before="80" w:line="320"/>
      </w:pPr>
      <w:r>
        <w:rPr>
          <w:rFonts w:ascii="Arial" w:cs="Arial" w:eastAsia="Arial" w:hAnsi="Arial"/>
          <w:color w:val="1A1A1A"/>
          <w:sz w:val="22"/>
          <w:szCs w:val="22"/>
        </w:rPr>
        <w:t xml:space="preserve">Per-organisation namespacing enforced at every layer through database-level mechanisms, not application policy</w:t>
      </w:r>
    </w:p>
    <w:p>
      <w:pPr>
        <w:spacing w:after="120" w:before="80" w:line="320"/>
      </w:pPr>
      <w:r>
        <w:rPr>
          <w:rFonts w:ascii="Arial" w:cs="Arial" w:eastAsia="Arial" w:hAnsi="Arial"/>
          <w:color w:val="1A1A1A"/>
          <w:sz w:val="22"/>
          <w:szCs w:val="22"/>
        </w:rPr>
        <w:t xml:space="preserve">Row-level security on every tenant-scoped Postgres table</w:t>
      </w:r>
    </w:p>
    <w:p>
      <w:pPr>
        <w:spacing w:after="120" w:before="80" w:line="320"/>
      </w:pPr>
      <w:r>
        <w:rPr>
          <w:rFonts w:ascii="Arial" w:cs="Arial" w:eastAsia="Arial" w:hAnsi="Arial"/>
          <w:color w:val="1A1A1A"/>
          <w:sz w:val="22"/>
          <w:szCs w:val="22"/>
        </w:rPr>
        <w:t xml:space="preserve">Multilingual content with canonical and English-pivot derived forms</w:t>
      </w:r>
    </w:p>
    <w:p>
      <w:pPr>
        <w:spacing w:after="120" w:before="80" w:line="320"/>
      </w:pPr>
      <w:r>
        <w:rPr>
          <w:rFonts w:ascii="Arial" w:cs="Arial" w:eastAsia="Arial" w:hAnsi="Arial"/>
          <w:color w:val="1A1A1A"/>
          <w:sz w:val="22"/>
          <w:szCs w:val="22"/>
        </w:rPr>
        <w:t xml:space="preserve">Persona versioning as a primary-key concern, not a metadata concern</w:t>
      </w:r>
    </w:p>
    <w:p>
      <w:pPr>
        <w:spacing w:after="120" w:before="80" w:line="320"/>
      </w:pPr>
      <w:r>
        <w:rPr>
          <w:rFonts w:ascii="Arial" w:cs="Arial" w:eastAsia="Arial" w:hAnsi="Arial"/>
          <w:color w:val="1A1A1A"/>
          <w:sz w:val="22"/>
          <w:szCs w:val="22"/>
        </w:rPr>
        <w:t xml:space="preserve">Hard deletion across all stores as a verifiable pipeline</w:t>
      </w:r>
    </w:p>
    <w:p>
      <w:pPr>
        <w:spacing w:after="120" w:before="80" w:line="320"/>
      </w:pPr>
      <w:r>
        <w:rPr>
          <w:rFonts w:ascii="Arial" w:cs="Arial" w:eastAsia="Arial" w:hAnsi="Arial"/>
          <w:color w:val="1A1A1A"/>
          <w:sz w:val="22"/>
          <w:szCs w:val="22"/>
        </w:rPr>
        <w:t xml:space="preserve">Engineering-revenue insulation enforced at the database role level, not the application layer</w:t>
      </w:r>
    </w:p>
    <w:p>
      <w:pPr>
        <w:pStyle w:val="Heading1"/>
        <w:spacing w:after="200" w:before="480"/>
      </w:pPr>
      <w:r>
        <w:rPr>
          <w:rFonts w:ascii="Arial" w:cs="Arial" w:eastAsia="Arial" w:hAnsi="Arial"/>
          <w:b/>
          <w:bCs/>
          <w:color w:val="4A3FC7"/>
          <w:sz w:val="36"/>
          <w:szCs w:val="36"/>
        </w:rPr>
        <w:t xml:space="preserve">5. Layer 4 — Real-time Meeting Pipeline</w:t>
      </w:r>
    </w:p>
    <w:p>
      <w:pPr>
        <w:spacing w:after="120" w:before="80" w:line="320"/>
      </w:pPr>
      <w:r>
        <w:rPr>
          <w:rFonts w:ascii="Arial" w:cs="Arial" w:eastAsia="Arial" w:hAnsi="Arial"/>
          <w:color w:val="1A1A1A"/>
          <w:sz w:val="22"/>
          <w:szCs w:val="22"/>
        </w:rPr>
        <w:t xml:space="preserve">The meeting pipeline is the latency-critical path of the platform. Audio and text flow through it; agent contributions flow back through it; the founder experiences the platform predominantly through it. This layer specifies how the pipeline is constructed, what its latency budgets are, how it handles failure modes, and how it serves both audio and text-only meetings as equal first-class modalities.</w:t>
      </w:r>
    </w:p>
    <w:p>
      <w:pPr>
        <w:pStyle w:val="Heading2"/>
        <w:spacing w:after="140" w:before="360"/>
      </w:pPr>
      <w:r>
        <w:rPr>
          <w:rFonts w:ascii="Arial" w:cs="Arial" w:eastAsia="Arial" w:hAnsi="Arial"/>
          <w:b/>
          <w:bCs/>
          <w:color w:val="1A1A1A"/>
          <w:sz w:val="28"/>
          <w:szCs w:val="28"/>
        </w:rPr>
        <w:t xml:space="preserve">5.1 Pipeline overview</w:t>
      </w:r>
    </w:p>
    <w:p>
      <w:pPr>
        <w:spacing w:after="120" w:before="80" w:line="320"/>
      </w:pPr>
      <w:r>
        <w:rPr>
          <w:rFonts w:ascii="Arial" w:cs="Arial" w:eastAsia="Arial" w:hAnsi="Arial"/>
          <w:color w:val="1A1A1A"/>
          <w:sz w:val="22"/>
          <w:szCs w:val="22"/>
        </w:rPr>
        <w:t xml:space="preserve">A meeting is a continuous stream of utterances. An utterance is the atomic unit — a span of speech or a typed message attributed to one participant in one language. The pipeline’s job is to ingest utterances, distribute them to all participants and to the agent runtime, accept hand-raises from agents, route acknowledgements, and produce agent contributions back into the stream.</w:t>
      </w:r>
    </w:p>
    <w:p>
      <w:pPr>
        <w:spacing w:after="120" w:before="80" w:line="320"/>
      </w:pPr>
      <w:r>
        <w:rPr>
          <w:rFonts w:ascii="Arial" w:cs="Arial" w:eastAsia="Arial" w:hAnsi="Arial"/>
          <w:color w:val="1A1A1A"/>
          <w:sz w:val="22"/>
          <w:szCs w:val="22"/>
        </w:rPr>
        <w:t xml:space="preserve">The pipeline runs on the media coordinator process described in Layer 2. Each active meeting is bound to one coordinator instance for the meeting’s duration. The coordinator holds in-memory state for the meeting, coordinates with the media vendor, and orchestrates the agent runtime.</w:t>
      </w:r>
    </w:p>
    <w:p>
      <w:pPr>
        <w:pStyle w:val="Heading2"/>
        <w:spacing w:after="140" w:before="360"/>
      </w:pPr>
      <w:r>
        <w:rPr>
          <w:rFonts w:ascii="Arial" w:cs="Arial" w:eastAsia="Arial" w:hAnsi="Arial"/>
          <w:b/>
          <w:bCs/>
          <w:color w:val="1A1A1A"/>
          <w:sz w:val="28"/>
          <w:szCs w:val="28"/>
        </w:rPr>
        <w:t xml:space="preserve">5.2 Latency budgets</w:t>
      </w:r>
    </w:p>
    <w:p>
      <w:pPr>
        <w:spacing w:after="120" w:before="80" w:line="320"/>
      </w:pPr>
      <w:r>
        <w:rPr>
          <w:rFonts w:ascii="Arial" w:cs="Arial" w:eastAsia="Arial" w:hAnsi="Arial"/>
          <w:color w:val="1A1A1A"/>
          <w:sz w:val="22"/>
          <w:szCs w:val="22"/>
        </w:rPr>
        <w:t xml:space="preserve">Latency budgets are committed engineering targets. They define what an acceptable user experience looks like.</w:t>
      </w:r>
    </w:p>
    <w:p>
      <w:pPr>
        <w:spacing w:after="120" w:before="80" w:line="320"/>
      </w:pPr>
      <w:r>
        <w:rPr>
          <w:rFonts w:ascii="Arial" w:cs="Arial" w:eastAsia="Arial" w:hAnsi="Arial"/>
          <w:color w:val="1A1A1A"/>
          <w:sz w:val="22"/>
          <w:szCs w:val="22"/>
        </w:rPr>
        <w:t xml:space="preserve">Beyond P95, the user experience degrades sharply. The platform monitors these latencies continuously; sustained P95 violations trigger alerts to on-call.</w:t>
      </w:r>
    </w:p>
    <w:p>
      <w:pPr>
        <w:pStyle w:val="Heading2"/>
        <w:spacing w:after="140" w:before="360"/>
      </w:pPr>
      <w:r>
        <w:rPr>
          <w:rFonts w:ascii="Arial" w:cs="Arial" w:eastAsia="Arial" w:hAnsi="Arial"/>
          <w:b/>
          <w:bCs/>
          <w:color w:val="1A1A1A"/>
          <w:sz w:val="28"/>
          <w:szCs w:val="28"/>
        </w:rPr>
        <w:t xml:space="preserve">5.3 Audio ingestion</w:t>
      </w:r>
    </w:p>
    <w:p>
      <w:pPr>
        <w:spacing w:after="120" w:before="80" w:line="320"/>
      </w:pPr>
      <w:r>
        <w:rPr>
          <w:rFonts w:ascii="Arial" w:cs="Arial" w:eastAsia="Arial" w:hAnsi="Arial"/>
          <w:color w:val="1A1A1A"/>
          <w:sz w:val="22"/>
          <w:szCs w:val="22"/>
        </w:rPr>
        <w:t xml:space="preserve">Each participant’s audio enters the platform through the media vendor’s SFU. The SFU forwards audio to other participants directly (peer-to-peer through the SFU mesh) and to the platform’s server-side handler for processing.</w:t>
      </w:r>
    </w:p>
    <w:p>
      <w:pPr>
        <w:pStyle w:val="Heading3"/>
        <w:spacing w:after="100" w:before="280"/>
      </w:pPr>
      <w:r>
        <w:rPr>
          <w:rFonts w:ascii="Arial" w:cs="Arial" w:eastAsia="Arial" w:hAnsi="Arial"/>
          <w:b/>
          <w:bCs/>
          <w:color w:val="1A1A1A"/>
          <w:sz w:val="23"/>
          <w:szCs w:val="23"/>
        </w:rPr>
        <w:t xml:space="preserve">5.3.1 Server-side ingestion</w:t>
      </w:r>
    </w:p>
    <w:p>
      <w:pPr>
        <w:spacing w:after="120" w:before="80" w:line="320"/>
      </w:pPr>
      <w:r>
        <w:rPr>
          <w:rFonts w:ascii="Arial" w:cs="Arial" w:eastAsia="Arial" w:hAnsi="Arial"/>
          <w:color w:val="1A1A1A"/>
          <w:sz w:val="22"/>
          <w:szCs w:val="22"/>
        </w:rPr>
        <w:t xml:space="preserve">The media coordinator opens a server-side connection to each meeting room. It receives every participant’s audio as a stream. Audio is captured as Opus-encoded chunks (the WebRTC default) and either passed through to STT or forwarded for recording.</w:t>
      </w:r>
    </w:p>
    <w:p>
      <w:pPr>
        <w:pStyle w:val="Heading3"/>
        <w:spacing w:after="100" w:before="280"/>
      </w:pPr>
      <w:r>
        <w:rPr>
          <w:rFonts w:ascii="Arial" w:cs="Arial" w:eastAsia="Arial" w:hAnsi="Arial"/>
          <w:b/>
          <w:bCs/>
          <w:color w:val="1A1A1A"/>
          <w:sz w:val="23"/>
          <w:szCs w:val="23"/>
        </w:rPr>
        <w:t xml:space="preserve">5.3.2 Speaker diarisation</w:t>
      </w:r>
    </w:p>
    <w:p>
      <w:pPr>
        <w:spacing w:after="120" w:before="80" w:line="320"/>
      </w:pPr>
      <w:r>
        <w:rPr>
          <w:rFonts w:ascii="Arial" w:cs="Arial" w:eastAsia="Arial" w:hAnsi="Arial"/>
          <w:color w:val="1A1A1A"/>
          <w:sz w:val="22"/>
          <w:szCs w:val="22"/>
        </w:rPr>
        <w:t xml:space="preserve">Diarisation is required when multiple humans speak in the same meeting; without it, transcripts cannot attribute utterances correctly. Two approaches:</w:t>
      </w:r>
    </w:p>
    <w:p>
      <w:pPr>
        <w:spacing w:after="120" w:before="80" w:line="320"/>
      </w:pPr>
      <w:r>
        <w:rPr>
          <w:rFonts w:ascii="Arial" w:cs="Arial" w:eastAsia="Arial" w:hAnsi="Arial"/>
          <w:color w:val="1A1A1A"/>
          <w:sz w:val="22"/>
          <w:szCs w:val="22"/>
        </w:rPr>
        <w:t xml:space="preserve">Per-participant audio tracks: most modern WebRTC stacks deliver one track per participant. Diarisation is solved by construction — the track is the speaker. This is the default for browser and native app participants.</w:t>
      </w:r>
    </w:p>
    <w:p>
      <w:pPr>
        <w:spacing w:after="120" w:before="80" w:line="320"/>
      </w:pPr>
      <w:r>
        <w:rPr>
          <w:rFonts w:ascii="Arial" w:cs="Arial" w:eastAsia="Arial" w:hAnsi="Arial"/>
          <w:color w:val="1A1A1A"/>
          <w:sz w:val="22"/>
          <w:szCs w:val="22"/>
        </w:rPr>
        <w:t xml:space="preserve">Mixed-track diarisation: when a participant joins via a system that mixes multiple voices into one track (rare in our architecture but possible for an external conference room speakerphone scenario), a diarisation model identifies speaker turns within the mixed track.</w:t>
      </w:r>
    </w:p>
    <w:p>
      <w:pPr>
        <w:spacing w:after="120" w:before="80" w:line="320"/>
      </w:pPr>
      <w:r>
        <w:rPr>
          <w:rFonts w:ascii="Arial" w:cs="Arial" w:eastAsia="Arial" w:hAnsi="Arial"/>
          <w:color w:val="1A1A1A"/>
          <w:sz w:val="22"/>
          <w:szCs w:val="22"/>
        </w:rPr>
        <w:t xml:space="preserve">For v1, the platform commits to per-participant tracks as the design assumption. Mixed-track diarisation is deferred; if the situation arises, the affected participant is asked to use a per-device microphone or the meeting is transcribed without speaker attribution within that track.</w:t>
      </w:r>
    </w:p>
    <w:p>
      <w:pPr>
        <w:pStyle w:val="Heading3"/>
        <w:spacing w:after="100" w:before="280"/>
      </w:pPr>
      <w:r>
        <w:rPr>
          <w:rFonts w:ascii="Arial" w:cs="Arial" w:eastAsia="Arial" w:hAnsi="Arial"/>
          <w:b/>
          <w:bCs/>
          <w:color w:val="1A1A1A"/>
          <w:sz w:val="23"/>
          <w:szCs w:val="23"/>
        </w:rPr>
        <w:t xml:space="preserve">5.3.3 Speech-to-text routing</w:t>
      </w:r>
    </w:p>
    <w:p>
      <w:pPr>
        <w:spacing w:after="120" w:before="80" w:line="320"/>
      </w:pPr>
      <w:r>
        <w:rPr>
          <w:rFonts w:ascii="Arial" w:cs="Arial" w:eastAsia="Arial" w:hAnsi="Arial"/>
          <w:color w:val="1A1A1A"/>
          <w:sz w:val="22"/>
          <w:szCs w:val="22"/>
        </w:rPr>
        <w:t xml:space="preserve">STT provider selection is per language. The Routing Service holds the STT registry and is consulted on the first utterance of a participant. The selection is cached for the participant for the meeting; mid-meeting language changes (when a participant code-switches) are handled by re-evaluating per utterance.</w:t>
      </w:r>
    </w:p>
    <w:p>
      <w:pPr>
        <w:spacing w:after="120" w:before="80" w:line="320"/>
      </w:pPr>
      <w:r>
        <w:rPr>
          <w:rFonts w:ascii="Arial" w:cs="Arial" w:eastAsia="Arial" w:hAnsi="Arial"/>
          <w:color w:val="1A1A1A"/>
          <w:sz w:val="22"/>
          <w:szCs w:val="22"/>
        </w:rPr>
        <w:t xml:space="preserve">English: Deepgram Nova or equivalent. Streaming, low-latency, accent-tolerant.</w:t>
      </w:r>
    </w:p>
    <w:p>
      <w:pPr>
        <w:spacing w:after="120" w:before="80" w:line="320"/>
      </w:pPr>
      <w:r>
        <w:rPr>
          <w:rFonts w:ascii="Arial" w:cs="Arial" w:eastAsia="Arial" w:hAnsi="Arial"/>
          <w:color w:val="1A1A1A"/>
          <w:sz w:val="22"/>
          <w:szCs w:val="22"/>
        </w:rPr>
        <w:t xml:space="preserve">Tamil and Hindi: Sarvam AI (Indic specialist) or Whisper-large-v3 hosted via Together. Decision by benchmark at build start.</w:t>
      </w:r>
    </w:p>
    <w:p>
      <w:pPr>
        <w:spacing w:after="120" w:before="80" w:line="320"/>
      </w:pPr>
      <w:r>
        <w:rPr>
          <w:rFonts w:ascii="Arial" w:cs="Arial" w:eastAsia="Arial" w:hAnsi="Arial"/>
          <w:color w:val="1A1A1A"/>
          <w:sz w:val="22"/>
          <w:szCs w:val="22"/>
        </w:rPr>
        <w:t xml:space="preserve">Other launch and future languages: hosted Whisper-class as default; sovereign or specialist providers swapped in where they outperform.</w:t>
      </w:r>
    </w:p>
    <w:p>
      <w:pPr>
        <w:spacing w:after="120" w:before="80" w:line="320"/>
      </w:pPr>
      <w:r>
        <w:rPr>
          <w:rFonts w:ascii="Arial" w:cs="Arial" w:eastAsia="Arial" w:hAnsi="Arial"/>
          <w:color w:val="1A1A1A"/>
          <w:sz w:val="22"/>
          <w:szCs w:val="22"/>
        </w:rPr>
        <w:t xml:space="preserve">STT runs in streaming mode. Partial transcripts arrive every ~150 ms; the platform displays partials in the live transcript with a visual marker (italic, lighter colour) and finalises text when the speaker pauses or the STT engine signals end-of-utterance.</w:t>
      </w:r>
    </w:p>
    <w:p>
      <w:pPr>
        <w:pStyle w:val="Heading2"/>
        <w:spacing w:after="140" w:before="360"/>
      </w:pPr>
      <w:r>
        <w:rPr>
          <w:rFonts w:ascii="Arial" w:cs="Arial" w:eastAsia="Arial" w:hAnsi="Arial"/>
          <w:b/>
          <w:bCs/>
          <w:color w:val="1A1A1A"/>
          <w:sz w:val="28"/>
          <w:szCs w:val="28"/>
        </w:rPr>
        <w:t xml:space="preserve">5.4 Text input handling</w:t>
      </w:r>
    </w:p>
    <w:p>
      <w:pPr>
        <w:spacing w:after="120" w:before="80" w:line="320"/>
      </w:pPr>
      <w:r>
        <w:rPr>
          <w:rFonts w:ascii="Arial" w:cs="Arial" w:eastAsia="Arial" w:hAnsi="Arial"/>
          <w:color w:val="1A1A1A"/>
          <w:sz w:val="22"/>
          <w:szCs w:val="22"/>
        </w:rPr>
        <w:t xml:space="preserve">Per the Concern 13 resolution, text and voice are equal first-class modalities. Founders can type their contributions in any meeting, and entire meetings can run text-only.</w:t>
      </w:r>
    </w:p>
    <w:p>
      <w:pPr>
        <w:pStyle w:val="Heading3"/>
        <w:spacing w:after="100" w:before="280"/>
      </w:pPr>
      <w:r>
        <w:rPr>
          <w:rFonts w:ascii="Arial" w:cs="Arial" w:eastAsia="Arial" w:hAnsi="Arial"/>
          <w:b/>
          <w:bCs/>
          <w:color w:val="1A1A1A"/>
          <w:sz w:val="23"/>
          <w:szCs w:val="23"/>
        </w:rPr>
        <w:t xml:space="preserve">5.4.1 Typed input flow</w:t>
      </w:r>
    </w:p>
    <w:p>
      <w:pPr>
        <w:spacing w:after="120" w:before="80" w:line="320"/>
      </w:pPr>
      <w:r>
        <w:rPr>
          <w:rFonts w:ascii="Arial" w:cs="Arial" w:eastAsia="Arial" w:hAnsi="Arial"/>
          <w:color w:val="1A1A1A"/>
          <w:sz w:val="22"/>
          <w:szCs w:val="22"/>
        </w:rPr>
        <w:t xml:space="preserve">Typed input enters the meeting through a chat composer in the client. On send, the client publishes a structured message to the meeting room (via WebSocket to the coordinator). The coordinator creates an utterance record with source=typed and distributes the text to all participants.</w:t>
      </w:r>
    </w:p>
    <w:p>
      <w:pPr>
        <w:pStyle w:val="Heading3"/>
        <w:spacing w:after="100" w:before="280"/>
      </w:pPr>
      <w:r>
        <w:rPr>
          <w:rFonts w:ascii="Arial" w:cs="Arial" w:eastAsia="Arial" w:hAnsi="Arial"/>
          <w:b/>
          <w:bCs/>
          <w:color w:val="1A1A1A"/>
          <w:sz w:val="23"/>
          <w:szCs w:val="23"/>
        </w:rPr>
        <w:t xml:space="preserve">5.4.2 Mixed-modality meetings</w:t>
      </w:r>
    </w:p>
    <w:p>
      <w:pPr>
        <w:spacing w:after="120" w:before="80" w:line="320"/>
      </w:pPr>
      <w:r>
        <w:rPr>
          <w:rFonts w:ascii="Arial" w:cs="Arial" w:eastAsia="Arial" w:hAnsi="Arial"/>
          <w:color w:val="1A1A1A"/>
          <w:sz w:val="22"/>
          <w:szCs w:val="22"/>
        </w:rPr>
        <w:t xml:space="preserve">A meeting can have some participants speaking and others typing simultaneously. The transcript displays both modalities in chronological order. Agents observe the unified utterance stream; they do not distinguish typed from spoken input for reasoning purposes (both are text once STT runs).</w:t>
      </w:r>
    </w:p>
    <w:p>
      <w:pPr>
        <w:spacing w:after="120" w:before="80" w:line="320"/>
      </w:pPr>
      <w:r>
        <w:rPr>
          <w:rFonts w:ascii="Arial" w:cs="Arial" w:eastAsia="Arial" w:hAnsi="Arial"/>
          <w:color w:val="1A1A1A"/>
          <w:sz w:val="22"/>
          <w:szCs w:val="22"/>
        </w:rPr>
        <w:t xml:space="preserve">Agent contributions in mixed-modality meetings adapt to the participants’ modalities. If the founder is typing, the agent contributes via text only — no TTS audio is generated, saving cost and avoiding unwanted audio from the founder’s perspective. If anyone is on audio, agent contributions go out in both modalities (audio for those listening, text in the transcript for everyone).</w:t>
      </w:r>
    </w:p>
    <w:p>
      <w:pPr>
        <w:pStyle w:val="Heading2"/>
        <w:spacing w:after="140" w:before="360"/>
      </w:pPr>
      <w:r>
        <w:rPr>
          <w:rFonts w:ascii="Arial" w:cs="Arial" w:eastAsia="Arial" w:hAnsi="Arial"/>
          <w:b/>
          <w:bCs/>
          <w:color w:val="1A1A1A"/>
          <w:sz w:val="28"/>
          <w:szCs w:val="28"/>
        </w:rPr>
        <w:t xml:space="preserve">5.5 The hand-raise protocol</w:t>
      </w:r>
    </w:p>
    <w:p>
      <w:pPr>
        <w:spacing w:after="120" w:before="80" w:line="320"/>
      </w:pPr>
      <w:r>
        <w:rPr>
          <w:rFonts w:ascii="Arial" w:cs="Arial" w:eastAsia="Arial" w:hAnsi="Arial"/>
          <w:color w:val="1A1A1A"/>
          <w:sz w:val="22"/>
          <w:szCs w:val="22"/>
        </w:rPr>
        <w:t xml:space="preserve">Digital agents do not interrupt human conversation. When an agent has something material to contribute, it raises a hand. The hand-raise protocol is the floor management mechanism that prevents agents from creating chaos in the meeting and gives humans control of the conversational pace.</w:t>
      </w:r>
    </w:p>
    <w:p>
      <w:pPr>
        <w:pStyle w:val="Heading3"/>
        <w:spacing w:after="100" w:before="280"/>
      </w:pPr>
      <w:r>
        <w:rPr>
          <w:rFonts w:ascii="Arial" w:cs="Arial" w:eastAsia="Arial" w:hAnsi="Arial"/>
          <w:b/>
          <w:bCs/>
          <w:color w:val="1A1A1A"/>
          <w:sz w:val="23"/>
          <w:szCs w:val="23"/>
        </w:rPr>
        <w:t xml:space="preserve">5.5.1 Hand-raise lifecycle</w:t>
      </w:r>
    </w:p>
    <w:p>
      <w:pPr>
        <w:spacing w:after="120" w:before="80" w:line="320"/>
      </w:pPr>
      <w:r>
        <w:rPr>
          <w:rFonts w:ascii="Arial" w:cs="Arial" w:eastAsia="Arial" w:hAnsi="Arial"/>
          <w:color w:val="1A1A1A"/>
          <w:sz w:val="22"/>
          <w:szCs w:val="22"/>
        </w:rPr>
        <w:t xml:space="preserve">An agent’s controller (see Layer 5) decides a contribution is ready. The controller publishes a hand_raise event to the coordinator with: agent_id, preview_text (≤90 chars), trigger_topic, conviction_band, expires_at.</w:t>
      </w:r>
    </w:p>
    <w:p>
      <w:pPr>
        <w:spacing w:after="120" w:before="80" w:line="320"/>
      </w:pPr>
      <w:r>
        <w:rPr>
          <w:rFonts w:ascii="Arial" w:cs="Arial" w:eastAsia="Arial" w:hAnsi="Arial"/>
          <w:color w:val="1A1A1A"/>
          <w:sz w:val="22"/>
          <w:szCs w:val="22"/>
        </w:rPr>
        <w:t xml:space="preserve">The coordinator records the hand_raise in Postgres and broadcasts a structured signal to all participant clients. The clients render the hand-raise in the UI: agent indicator becomes raised, preview text appears, accept controls visible.</w:t>
      </w:r>
    </w:p>
    <w:p>
      <w:pPr>
        <w:spacing w:after="120" w:before="80" w:line="320"/>
      </w:pPr>
      <w:r>
        <w:rPr>
          <w:rFonts w:ascii="Arial" w:cs="Arial" w:eastAsia="Arial" w:hAnsi="Arial"/>
          <w:color w:val="1A1A1A"/>
          <w:sz w:val="22"/>
          <w:szCs w:val="22"/>
        </w:rPr>
        <w:t xml:space="preserve">A configurable expiry timer runs (default 5 minutes). If no acknowledgement arrives before expiry, the hand-raise withdraws automatically and the controller is notified. The agent may re-raise later if the trigger remains relevant.</w:t>
      </w:r>
    </w:p>
    <w:p>
      <w:pPr>
        <w:spacing w:after="120" w:before="80" w:line="320"/>
      </w:pPr>
      <w:r>
        <w:rPr>
          <w:rFonts w:ascii="Arial" w:cs="Arial" w:eastAsia="Arial" w:hAnsi="Arial"/>
          <w:color w:val="1A1A1A"/>
          <w:sz w:val="22"/>
          <w:szCs w:val="22"/>
        </w:rPr>
        <w:t xml:space="preserve">When acknowledged (voice or click), the coordinator marks the hand_raise as ack’d, signals the agent controller to produce the contribution, and prepares the meeting for the contribution to enter.</w:t>
      </w:r>
    </w:p>
    <w:p>
      <w:pPr>
        <w:spacing w:after="120" w:before="80" w:line="320"/>
      </w:pPr>
      <w:r>
        <w:rPr>
          <w:rFonts w:ascii="Arial" w:cs="Arial" w:eastAsia="Arial" w:hAnsi="Arial"/>
          <w:color w:val="1A1A1A"/>
          <w:sz w:val="22"/>
          <w:szCs w:val="22"/>
        </w:rPr>
        <w:t xml:space="preserve">The contribution is produced (see 5.7). On completion, the hand_raise is closed; the agent_contribution record is written.</w:t>
      </w:r>
    </w:p>
    <w:p>
      <w:pPr>
        <w:pStyle w:val="Heading3"/>
        <w:spacing w:after="100" w:before="280"/>
      </w:pPr>
      <w:r>
        <w:rPr>
          <w:rFonts w:ascii="Arial" w:cs="Arial" w:eastAsia="Arial" w:hAnsi="Arial"/>
          <w:b/>
          <w:bCs/>
          <w:color w:val="1A1A1A"/>
          <w:sz w:val="23"/>
          <w:szCs w:val="23"/>
        </w:rPr>
        <w:t xml:space="preserve">5.5.2 The voice acknowledgement detector</w:t>
      </w:r>
    </w:p>
    <w:p>
      <w:pPr>
        <w:spacing w:after="120" w:before="80" w:line="320"/>
      </w:pPr>
      <w:r>
        <w:rPr>
          <w:rFonts w:ascii="Arial" w:cs="Arial" w:eastAsia="Arial" w:hAnsi="Arial"/>
          <w:color w:val="1A1A1A"/>
          <w:sz w:val="22"/>
          <w:szCs w:val="22"/>
        </w:rPr>
        <w:t xml:space="preserve">Voice acknowledgement listens for utterances that grant the floor to a named agent. The detector is a lightweight model running on the live transcript stream. It looks for patterns: agent_name + grant_phrase, where grant phrases include "go ahead," "your thoughts," "what do you think," "Sarah?" with rising intonation, etc.</w:t>
      </w:r>
    </w:p>
    <w:p>
      <w:pPr>
        <w:spacing w:after="120" w:before="80" w:line="320"/>
      </w:pPr>
      <w:r>
        <w:rPr>
          <w:rFonts w:ascii="Arial" w:cs="Arial" w:eastAsia="Arial" w:hAnsi="Arial"/>
          <w:color w:val="1A1A1A"/>
          <w:sz w:val="22"/>
          <w:szCs w:val="22"/>
        </w:rPr>
        <w:t xml:space="preserve">The detector is per-language. False positives (granting the floor when the founder did not intend to) are worse than false negatives (failing to detect a clear grant). The detector is calibrated conservatively; ambiguous cases default to no detection, and the founder uses the click acknowledgement.</w:t>
      </w:r>
    </w:p>
    <w:p>
      <w:pPr>
        <w:spacing w:after="120" w:before="80" w:line="320"/>
      </w:pPr>
      <w:r>
        <w:rPr>
          <w:rFonts w:ascii="Arial" w:cs="Arial" w:eastAsia="Arial" w:hAnsi="Arial"/>
          <w:color w:val="1A1A1A"/>
          <w:sz w:val="22"/>
          <w:szCs w:val="22"/>
        </w:rPr>
        <w:t xml:space="preserve">Click acknowledgement is the always-available fallback. It is the click of the raised-hand indicator in the UI. It works regardless of voice detection accuracy, regardless of acoustic conditions, and regardless of language.</w:t>
      </w:r>
    </w:p>
    <w:p>
      <w:pPr>
        <w:pStyle w:val="Heading3"/>
        <w:spacing w:after="100" w:before="280"/>
      </w:pPr>
      <w:r>
        <w:rPr>
          <w:rFonts w:ascii="Arial" w:cs="Arial" w:eastAsia="Arial" w:hAnsi="Arial"/>
          <w:b/>
          <w:bCs/>
          <w:color w:val="1A1A1A"/>
          <w:sz w:val="23"/>
          <w:szCs w:val="23"/>
        </w:rPr>
        <w:t xml:space="preserve">5.5.3 Multiple raised hands</w:t>
      </w:r>
    </w:p>
    <w:p>
      <w:pPr>
        <w:spacing w:after="120" w:before="80" w:line="320"/>
      </w:pPr>
      <w:r>
        <w:rPr>
          <w:rFonts w:ascii="Arial" w:cs="Arial" w:eastAsia="Arial" w:hAnsi="Arial"/>
          <w:color w:val="1A1A1A"/>
          <w:sz w:val="22"/>
          <w:szCs w:val="22"/>
        </w:rPr>
        <w:t xml:space="preserve">When multiple agents have raised hands simultaneously, the UI displays each with its preview text. The founder chooses acknowledgement order. The platform does not auto-sequence — the founder’s judgement of which agent’s contribution is most relevant is the acknowledgement.</w:t>
      </w:r>
    </w:p>
    <w:p>
      <w:pPr>
        <w:spacing w:after="120" w:before="80" w:line="320"/>
      </w:pPr>
      <w:r>
        <w:rPr>
          <w:rFonts w:ascii="Arial" w:cs="Arial" w:eastAsia="Arial" w:hAnsi="Arial"/>
          <w:color w:val="1A1A1A"/>
          <w:sz w:val="22"/>
          <w:szCs w:val="22"/>
        </w:rPr>
        <w:t xml:space="preserve">A helper hint can be surfaced (per founder preference): "Sarah’s contribution is on the financial model; Marcus’s is on the customer segment." This is generated from each agent’s preview_text plus brief context, not by the agents themselves.</w:t>
      </w:r>
    </w:p>
    <w:p>
      <w:pPr>
        <w:pStyle w:val="Heading2"/>
        <w:spacing w:after="140" w:before="360"/>
      </w:pPr>
      <w:r>
        <w:rPr>
          <w:rFonts w:ascii="Arial" w:cs="Arial" w:eastAsia="Arial" w:hAnsi="Arial"/>
          <w:b/>
          <w:bCs/>
          <w:color w:val="1A1A1A"/>
          <w:sz w:val="28"/>
          <w:szCs w:val="28"/>
        </w:rPr>
        <w:t xml:space="preserve">5.6 The acknowledgement → contribution path</w:t>
      </w:r>
    </w:p>
    <w:p>
      <w:pPr>
        <w:spacing w:after="120" w:before="80" w:line="320"/>
      </w:pPr>
      <w:r>
        <w:rPr>
          <w:rFonts w:ascii="Arial" w:cs="Arial" w:eastAsia="Arial" w:hAnsi="Arial"/>
          <w:color w:val="1A1A1A"/>
          <w:sz w:val="22"/>
          <w:szCs w:val="22"/>
        </w:rPr>
        <w:t xml:space="preserve">Once an agent is acknowledged, the contribution must reach the participants within the latency budget. This path is the most engineered part of the pipeline.</w:t>
      </w:r>
    </w:p>
    <w:p>
      <w:pPr>
        <w:pStyle w:val="Heading3"/>
        <w:spacing w:after="100" w:before="280"/>
      </w:pPr>
      <w:r>
        <w:rPr>
          <w:rFonts w:ascii="Arial" w:cs="Arial" w:eastAsia="Arial" w:hAnsi="Arial"/>
          <w:b/>
          <w:bCs/>
          <w:color w:val="1A1A1A"/>
          <w:sz w:val="23"/>
          <w:szCs w:val="23"/>
        </w:rPr>
        <w:t xml:space="preserve">5.6.1 Pre-warming</w:t>
      </w:r>
    </w:p>
    <w:p>
      <w:pPr>
        <w:spacing w:after="120" w:before="80" w:line="320"/>
      </w:pPr>
      <w:r>
        <w:rPr>
          <w:rFonts w:ascii="Arial" w:cs="Arial" w:eastAsia="Arial" w:hAnsi="Arial"/>
          <w:color w:val="1A1A1A"/>
          <w:sz w:val="22"/>
          <w:szCs w:val="22"/>
        </w:rPr>
        <w:t xml:space="preserve">When the hand-raise is published, the agent controller already has its draft contribution ready (see Layer 5: agents produce contributions in advance, hand-raise is the signal that the contribution is queued). The acknowledgement triggers the final synthesis call, not the entire reasoning chain.</w:t>
      </w:r>
    </w:p>
    <w:p>
      <w:pPr>
        <w:pStyle w:val="Heading3"/>
        <w:spacing w:after="100" w:before="280"/>
      </w:pPr>
      <w:r>
        <w:rPr>
          <w:rFonts w:ascii="Arial" w:cs="Arial" w:eastAsia="Arial" w:hAnsi="Arial"/>
          <w:b/>
          <w:bCs/>
          <w:color w:val="1A1A1A"/>
          <w:sz w:val="23"/>
          <w:szCs w:val="23"/>
        </w:rPr>
        <w:t xml:space="preserve">5.6.2 Final synthesis</w:t>
      </w:r>
    </w:p>
    <w:p>
      <w:pPr>
        <w:spacing w:after="120" w:before="80" w:line="320"/>
      </w:pPr>
      <w:r>
        <w:rPr>
          <w:rFonts w:ascii="Arial" w:cs="Arial" w:eastAsia="Arial" w:hAnsi="Arial"/>
          <w:color w:val="1A1A1A"/>
          <w:sz w:val="22"/>
          <w:szCs w:val="22"/>
        </w:rPr>
        <w:t xml:space="preserve">The agent controller calls an LLM via the Routing Service to produce the final contribution text. The model and provider are chosen per the customer’s tier and the task’s complexity. For a routine clarification, this is a Good-tier model and completes in 800 ms; for a complex strategic point, this is an Advanced-tier model and may complete in 2-3 seconds.</w:t>
      </w:r>
    </w:p>
    <w:p>
      <w:pPr>
        <w:pStyle w:val="Heading3"/>
        <w:spacing w:after="100" w:before="280"/>
      </w:pPr>
      <w:r>
        <w:rPr>
          <w:rFonts w:ascii="Arial" w:cs="Arial" w:eastAsia="Arial" w:hAnsi="Arial"/>
          <w:b/>
          <w:bCs/>
          <w:color w:val="1A1A1A"/>
          <w:sz w:val="23"/>
          <w:szCs w:val="23"/>
        </w:rPr>
        <w:t xml:space="preserve">5.6.3 Streaming TTS</w:t>
      </w:r>
    </w:p>
    <w:p>
      <w:pPr>
        <w:spacing w:after="120" w:before="80" w:line="320"/>
      </w:pPr>
      <w:r>
        <w:rPr>
          <w:rFonts w:ascii="Arial" w:cs="Arial" w:eastAsia="Arial" w:hAnsi="Arial"/>
          <w:color w:val="1A1A1A"/>
          <w:sz w:val="22"/>
          <w:szCs w:val="22"/>
        </w:rPr>
        <w:t xml:space="preserve">For audio meetings, TTS is streamed: the LLM’s tokens are sent to the TTS provider as they arrive, and the TTS provider returns audio chunks that are streamed into the meeting audio. This is what makes the contribution feel responsive — the agent starts speaking before the LLM has finished generating.</w:t>
      </w:r>
    </w:p>
    <w:p>
      <w:pPr>
        <w:spacing w:after="120" w:before="80" w:line="320"/>
      </w:pPr>
      <w:r>
        <w:rPr>
          <w:rFonts w:ascii="Arial" w:cs="Arial" w:eastAsia="Arial" w:hAnsi="Arial"/>
          <w:color w:val="1A1A1A"/>
          <w:sz w:val="22"/>
          <w:szCs w:val="22"/>
        </w:rPr>
        <w:t xml:space="preserve">The platform requires TTS providers that support streaming. ElevenLabs, Cartesia, and several provider-native TTS services do. Latency from first LLM token to first TTS audio sample is typically 400-700 ms.</w:t>
      </w:r>
    </w:p>
    <w:p>
      <w:pPr>
        <w:pStyle w:val="Heading3"/>
        <w:spacing w:after="100" w:before="280"/>
      </w:pPr>
      <w:r>
        <w:rPr>
          <w:rFonts w:ascii="Arial" w:cs="Arial" w:eastAsia="Arial" w:hAnsi="Arial"/>
          <w:b/>
          <w:bCs/>
          <w:color w:val="1A1A1A"/>
          <w:sz w:val="23"/>
          <w:szCs w:val="23"/>
        </w:rPr>
        <w:t xml:space="preserve">5.6.4 Audio mixing</w:t>
      </w:r>
    </w:p>
    <w:p>
      <w:pPr>
        <w:spacing w:after="120" w:before="80" w:line="320"/>
      </w:pPr>
      <w:r>
        <w:rPr>
          <w:rFonts w:ascii="Arial" w:cs="Arial" w:eastAsia="Arial" w:hAnsi="Arial"/>
          <w:color w:val="1A1A1A"/>
          <w:sz w:val="22"/>
          <w:szCs w:val="22"/>
        </w:rPr>
        <w:t xml:space="preserve">TTS audio is mixed into the meeting audio at the SFU level. The agent’s audio is published as if from a virtual participant; other participants receive it through the same path as human audio. Audio levels, codec, and sample rate match the meeting’s configuration.</w:t>
      </w:r>
    </w:p>
    <w:p>
      <w:pPr>
        <w:pStyle w:val="Heading2"/>
        <w:spacing w:after="140" w:before="360"/>
      </w:pPr>
      <w:r>
        <w:rPr>
          <w:rFonts w:ascii="Arial" w:cs="Arial" w:eastAsia="Arial" w:hAnsi="Arial"/>
          <w:b/>
          <w:bCs/>
          <w:color w:val="1A1A1A"/>
          <w:sz w:val="28"/>
          <w:szCs w:val="28"/>
        </w:rPr>
        <w:t xml:space="preserve">5.7 The end-of-meeting review</w:t>
      </w:r>
    </w:p>
    <w:p>
      <w:pPr>
        <w:spacing w:after="120" w:before="80" w:line="320"/>
      </w:pPr>
      <w:r>
        <w:rPr>
          <w:rFonts w:ascii="Arial" w:cs="Arial" w:eastAsia="Arial" w:hAnsi="Arial"/>
          <w:color w:val="1A1A1A"/>
          <w:sz w:val="22"/>
          <w:szCs w:val="22"/>
        </w:rPr>
        <w:t xml:space="preserve">Per the resolution of Concern 6, the end-of-meeting review uses graduated confirmation patterns from day one. The review is the gate between an active meeting and a closed meeting; the session does not enter the closed state until the review completes.</w:t>
      </w:r>
    </w:p>
    <w:p>
      <w:pPr>
        <w:pStyle w:val="Heading3"/>
        <w:spacing w:after="100" w:before="280"/>
      </w:pPr>
      <w:r>
        <w:rPr>
          <w:rFonts w:ascii="Arial" w:cs="Arial" w:eastAsia="Arial" w:hAnsi="Arial"/>
          <w:b/>
          <w:bCs/>
          <w:color w:val="1A1A1A"/>
          <w:sz w:val="23"/>
          <w:szCs w:val="23"/>
        </w:rPr>
        <w:t xml:space="preserve">5.7.1 Trigger</w:t>
      </w:r>
    </w:p>
    <w:p>
      <w:pPr>
        <w:spacing w:after="120" w:before="80" w:line="320"/>
      </w:pPr>
      <w:r>
        <w:rPr>
          <w:rFonts w:ascii="Arial" w:cs="Arial" w:eastAsia="Arial" w:hAnsi="Arial"/>
          <w:color w:val="1A1A1A"/>
          <w:sz w:val="22"/>
          <w:szCs w:val="22"/>
        </w:rPr>
        <w:t xml:space="preserve">The review triggers when the founder explicitly ends the meeting, or two minutes before the scheduled end time, or when all human participants have left and the founder has not. The review can also be triggered manually mid-meeting.</w:t>
      </w:r>
    </w:p>
    <w:p>
      <w:pPr>
        <w:pStyle w:val="Heading3"/>
        <w:spacing w:after="100" w:before="280"/>
      </w:pPr>
      <w:r>
        <w:rPr>
          <w:rFonts w:ascii="Arial" w:cs="Arial" w:eastAsia="Arial" w:hAnsi="Arial"/>
          <w:b/>
          <w:bCs/>
          <w:color w:val="1A1A1A"/>
          <w:sz w:val="23"/>
          <w:szCs w:val="23"/>
        </w:rPr>
        <w:t xml:space="preserve">5.7.2 Review composition</w:t>
      </w:r>
    </w:p>
    <w:p>
      <w:pPr>
        <w:spacing w:after="120" w:before="80" w:line="320"/>
      </w:pPr>
      <w:r>
        <w:rPr>
          <w:rFonts w:ascii="Arial" w:cs="Arial" w:eastAsia="Arial" w:hAnsi="Arial"/>
          <w:color w:val="1A1A1A"/>
          <w:sz w:val="22"/>
          <w:szCs w:val="22"/>
        </w:rPr>
        <w:t xml:space="preserve">At review trigger, the Ledger Service runs detection passes:</w:t>
      </w:r>
    </w:p>
    <w:p>
      <w:pPr>
        <w:spacing w:after="120" w:before="80" w:line="320"/>
      </w:pPr>
      <w:r>
        <w:rPr>
          <w:rFonts w:ascii="Arial" w:cs="Arial" w:eastAsia="Arial" w:hAnsi="Arial"/>
          <w:color w:val="1A1A1A"/>
          <w:sz w:val="22"/>
          <w:szCs w:val="22"/>
        </w:rPr>
        <w:t xml:space="preserve">Decision detection: the meeting transcript is analysed (by an LLM) for statements that look like decisions — commitments to a course of action, choices made, plans set. Each candidate becomes an item in the review.</w:t>
      </w:r>
    </w:p>
    <w:p>
      <w:pPr>
        <w:spacing w:after="120" w:before="80" w:line="320"/>
      </w:pPr>
      <w:r>
        <w:rPr>
          <w:rFonts w:ascii="Arial" w:cs="Arial" w:eastAsia="Arial" w:hAnsi="Arial"/>
          <w:color w:val="1A1A1A"/>
          <w:sz w:val="22"/>
          <w:szCs w:val="22"/>
        </w:rPr>
        <w:t xml:space="preserve">Action detection: similar pass for action items — statements implying someone will do something. Owner and due date are inferred where stated, left blank where not.</w:t>
      </w:r>
    </w:p>
    <w:p>
      <w:pPr>
        <w:spacing w:after="120" w:before="80" w:line="320"/>
      </w:pPr>
      <w:r>
        <w:rPr>
          <w:rFonts w:ascii="Arial" w:cs="Arial" w:eastAsia="Arial" w:hAnsi="Arial"/>
          <w:color w:val="1A1A1A"/>
          <w:sz w:val="22"/>
          <w:szCs w:val="22"/>
        </w:rPr>
        <w:t xml:space="preserve">Conflict detection: each candidate decision is compared against active prior decisions in the ledger. Conflicts are surfaced as items requiring resolution.</w:t>
      </w:r>
    </w:p>
    <w:p>
      <w:pPr>
        <w:spacing w:after="120" w:before="80" w:line="320"/>
      </w:pPr>
      <w:r>
        <w:rPr>
          <w:rFonts w:ascii="Arial" w:cs="Arial" w:eastAsia="Arial" w:hAnsi="Arial"/>
          <w:color w:val="1A1A1A"/>
          <w:sz w:val="22"/>
          <w:szCs w:val="22"/>
        </w:rPr>
        <w:t xml:space="preserve">Open prior items: decisions and actions from earlier meetings the current meeting did not address are listed. Founder marks each as still active, completed, abandoned, or to be revisited.</w:t>
      </w:r>
    </w:p>
    <w:p>
      <w:pPr>
        <w:spacing w:after="120" w:before="80" w:line="320"/>
      </w:pPr>
      <w:r>
        <w:rPr>
          <w:rFonts w:ascii="Arial" w:cs="Arial" w:eastAsia="Arial" w:hAnsi="Arial"/>
          <w:color w:val="1A1A1A"/>
          <w:sz w:val="22"/>
          <w:szCs w:val="22"/>
        </w:rPr>
        <w:t xml:space="preserve">Outcomes due for logging: decisions made six to eight weeks ago and now ready for outcome logging are surfaced. Founder provides one-sentence outcome.</w:t>
      </w:r>
    </w:p>
    <w:p>
      <w:pPr>
        <w:pStyle w:val="Heading3"/>
        <w:spacing w:after="100" w:before="280"/>
      </w:pPr>
      <w:r>
        <w:rPr>
          <w:rFonts w:ascii="Arial" w:cs="Arial" w:eastAsia="Arial" w:hAnsi="Arial"/>
          <w:b/>
          <w:bCs/>
          <w:color w:val="1A1A1A"/>
          <w:sz w:val="23"/>
          <w:szCs w:val="23"/>
        </w:rPr>
        <w:t xml:space="preserve">5.7.3 Graduated confirmation</w:t>
      </w:r>
    </w:p>
    <w:p>
      <w:pPr>
        <w:spacing w:after="120" w:before="80" w:line="320"/>
      </w:pPr>
      <w:r>
        <w:rPr>
          <w:rFonts w:ascii="Arial" w:cs="Arial" w:eastAsia="Arial" w:hAnsi="Arial"/>
          <w:color w:val="1A1A1A"/>
          <w:sz w:val="22"/>
          <w:szCs w:val="22"/>
        </w:rPr>
        <w:t xml:space="preserve">Items are tiered by stakes; UI confirmation patterns match the tier:</w:t>
      </w:r>
    </w:p>
    <w:p>
      <w:pPr>
        <w:spacing w:after="120" w:before="80" w:line="320"/>
      </w:pPr>
      <w:r>
        <w:rPr>
          <w:rFonts w:ascii="Arial" w:cs="Arial" w:eastAsia="Arial" w:hAnsi="Arial"/>
          <w:color w:val="1A1A1A"/>
          <w:sz w:val="22"/>
          <w:szCs w:val="22"/>
        </w:rPr>
        <w:t xml:space="preserve">Tier classification is data-driven. A simple rule engine in v1 (keyword matching plus domain tag plus monetary thresholds) covers the common cases. As outcome data accumulates, the Performance Service refines the classification — items that founders consistently edit before confirming get reclassified up; items consistently rubber-stamped get reclassified down.</w:t>
      </w:r>
    </w:p>
    <w:p>
      <w:pPr>
        <w:pStyle w:val="Heading3"/>
        <w:spacing w:after="100" w:before="280"/>
      </w:pPr>
      <w:r>
        <w:rPr>
          <w:rFonts w:ascii="Arial" w:cs="Arial" w:eastAsia="Arial" w:hAnsi="Arial"/>
          <w:b/>
          <w:bCs/>
          <w:color w:val="1A1A1A"/>
          <w:sz w:val="23"/>
          <w:szCs w:val="23"/>
        </w:rPr>
        <w:t xml:space="preserve">5.7.4 Conflicts must resolve</w:t>
      </w:r>
    </w:p>
    <w:p>
      <w:pPr>
        <w:spacing w:after="120" w:before="80" w:line="320"/>
      </w:pPr>
      <w:r>
        <w:rPr>
          <w:rFonts w:ascii="Arial" w:cs="Arial" w:eastAsia="Arial" w:hAnsi="Arial"/>
          <w:color w:val="1A1A1A"/>
          <w:sz w:val="22"/>
          <w:szCs w:val="22"/>
        </w:rPr>
        <w:t xml:space="preserve">Conflicts are not optional. A meeting with an unresolved conflict cannot close. The founder must declare the relationship type (refinement, replacement, parallel workstream, abandonment) for each conflict before the session closes. If the founder cannot decide in the moment, the meeting can be paused; the conflict carries forward and surfaces at the start of the next session, but the current session enters a "review-pending" state rather than closing.</w:t>
      </w:r>
    </w:p>
    <w:p>
      <w:pPr>
        <w:pStyle w:val="Heading3"/>
        <w:spacing w:after="100" w:before="280"/>
      </w:pPr>
      <w:r>
        <w:rPr>
          <w:rFonts w:ascii="Arial" w:cs="Arial" w:eastAsia="Arial" w:hAnsi="Arial"/>
          <w:b/>
          <w:bCs/>
          <w:color w:val="1A1A1A"/>
          <w:sz w:val="23"/>
          <w:szCs w:val="23"/>
        </w:rPr>
        <w:t xml:space="preserve">5.7.5 What happens after confirmation</w:t>
      </w:r>
    </w:p>
    <w:p>
      <w:pPr>
        <w:spacing w:after="120" w:before="80" w:line="320"/>
      </w:pPr>
      <w:r>
        <w:rPr>
          <w:rFonts w:ascii="Arial" w:cs="Arial" w:eastAsia="Arial" w:hAnsi="Arial"/>
          <w:color w:val="1A1A1A"/>
          <w:sz w:val="22"/>
          <w:szCs w:val="22"/>
        </w:rPr>
        <w:t xml:space="preserve">On confirmation, the Ledger Service writes the confirmed records, the Brain Service updates the structured store with the new state (e.g., a pricing decision updates the brain’s pricing entity), the vector store gets new embeddings for the rationale, the graph database gets new edges. Async events fire: outcome reminders are scheduled, action item due-date alerts are created, the morning briefing for the next day is updated.</w:t>
      </w:r>
    </w:p>
    <w:p>
      <w:pPr>
        <w:pStyle w:val="Heading2"/>
        <w:spacing w:after="140" w:before="360"/>
      </w:pPr>
      <w:r>
        <w:rPr>
          <w:rFonts w:ascii="Arial" w:cs="Arial" w:eastAsia="Arial" w:hAnsi="Arial"/>
          <w:b/>
          <w:bCs/>
          <w:color w:val="1A1A1A"/>
          <w:sz w:val="28"/>
          <w:szCs w:val="28"/>
        </w:rPr>
        <w:t xml:space="preserve">5.8 Background debate execution</w:t>
      </w:r>
    </w:p>
    <w:p>
      <w:pPr>
        <w:spacing w:after="120" w:before="80" w:line="320"/>
      </w:pPr>
      <w:r>
        <w:rPr>
          <w:rFonts w:ascii="Arial" w:cs="Arial" w:eastAsia="Arial" w:hAnsi="Arial"/>
          <w:color w:val="1A1A1A"/>
          <w:sz w:val="22"/>
          <w:szCs w:val="22"/>
        </w:rPr>
        <w:t xml:space="preserve">Per the resolution of Concern 5, inter-agent disagreement runs in the background and only the resolution surfaces. The execution context for background debate is structurally separate from the live meeting flow.</w:t>
      </w:r>
    </w:p>
    <w:p>
      <w:pPr>
        <w:pStyle w:val="Heading3"/>
        <w:spacing w:after="100" w:before="280"/>
      </w:pPr>
      <w:r>
        <w:rPr>
          <w:rFonts w:ascii="Arial" w:cs="Arial" w:eastAsia="Arial" w:hAnsi="Arial"/>
          <w:b/>
          <w:bCs/>
          <w:color w:val="1A1A1A"/>
          <w:sz w:val="23"/>
          <w:szCs w:val="23"/>
        </w:rPr>
        <w:t xml:space="preserve">5.8.1 Trigger</w:t>
      </w:r>
    </w:p>
    <w:p>
      <w:pPr>
        <w:spacing w:after="120" w:before="80" w:line="320"/>
      </w:pPr>
      <w:r>
        <w:rPr>
          <w:rFonts w:ascii="Arial" w:cs="Arial" w:eastAsia="Arial" w:hAnsi="Arial"/>
          <w:color w:val="1A1A1A"/>
          <w:sz w:val="22"/>
          <w:szCs w:val="22"/>
        </w:rPr>
        <w:t xml:space="preserve">A debate triggers when two or more agent controllers, looking at the same in-flight question, produce drafts that disagree materially. Material disagreement means: substantive difference in conclusion, not phrasing or framing variance. The detection runs on the structured form of the draft contributions (extracted recommendations, claimed evidence, assigned conviction band) before any natural-language synthesis.</w:t>
      </w:r>
    </w:p>
    <w:p>
      <w:pPr>
        <w:pStyle w:val="Heading3"/>
        <w:spacing w:after="100" w:before="280"/>
      </w:pPr>
      <w:r>
        <w:rPr>
          <w:rFonts w:ascii="Arial" w:cs="Arial" w:eastAsia="Arial" w:hAnsi="Arial"/>
          <w:b/>
          <w:bCs/>
          <w:color w:val="1A1A1A"/>
          <w:sz w:val="23"/>
          <w:szCs w:val="23"/>
        </w:rPr>
        <w:t xml:space="preserve">5.8.2 Debate runtime</w:t>
      </w:r>
    </w:p>
    <w:p>
      <w:pPr>
        <w:spacing w:after="120" w:before="80" w:line="320"/>
      </w:pPr>
      <w:r>
        <w:rPr>
          <w:rFonts w:ascii="Arial" w:cs="Arial" w:eastAsia="Arial" w:hAnsi="Arial"/>
          <w:color w:val="1A1A1A"/>
          <w:sz w:val="22"/>
          <w:szCs w:val="22"/>
        </w:rPr>
        <w:t xml:space="preserve">On trigger, the orchestrator opens a debate context: a separate execution thread, isolated from the main meeting transcript. The disagreeing agents exchange structured turns: each presents its position with evidence; the others respond with evidence supporting agreement, refining concerns, or maintaining disagreement. Up to a fixed turn limit (default 4 rounds) and a fixed wall-clock timeout (default 15 seconds; hard timeout at 30 seconds).</w:t>
      </w:r>
    </w:p>
    <w:p>
      <w:pPr>
        <w:pStyle w:val="Heading3"/>
        <w:spacing w:after="100" w:before="280"/>
      </w:pPr>
      <w:r>
        <w:rPr>
          <w:rFonts w:ascii="Arial" w:cs="Arial" w:eastAsia="Arial" w:hAnsi="Arial"/>
          <w:b/>
          <w:bCs/>
          <w:color w:val="1A1A1A"/>
          <w:sz w:val="23"/>
          <w:szCs w:val="23"/>
        </w:rPr>
        <w:t xml:space="preserve">5.8.3 Completion modes</w:t>
      </w:r>
    </w:p>
    <w:p>
      <w:pPr>
        <w:pStyle w:val="Heading3"/>
        <w:spacing w:after="100" w:before="280"/>
      </w:pPr>
      <w:r>
        <w:rPr>
          <w:rFonts w:ascii="Arial" w:cs="Arial" w:eastAsia="Arial" w:hAnsi="Arial"/>
          <w:b/>
          <w:bCs/>
          <w:color w:val="1A1A1A"/>
          <w:sz w:val="23"/>
          <w:szCs w:val="23"/>
        </w:rPr>
        <w:t xml:space="preserve">5.8.4 Summary view on demand</w:t>
      </w:r>
    </w:p>
    <w:p>
      <w:pPr>
        <w:spacing w:after="120" w:before="80" w:line="320"/>
      </w:pPr>
      <w:r>
        <w:rPr>
          <w:rFonts w:ascii="Arial" w:cs="Arial" w:eastAsia="Arial" w:hAnsi="Arial"/>
          <w:color w:val="1A1A1A"/>
          <w:sz w:val="22"/>
          <w:szCs w:val="22"/>
        </w:rPr>
        <w:t xml:space="preserve">At any time after a debate, the founder can ask "why do you two disagree" or "show me the reasoning." The platform produces a structured synthesis: each agent’s position, the evidence each cited, the points of agreement, the points of contention, the resolution offered. Generated on demand from the debate state, not stored in full transcript form unless the founder explicitly archives it.</w:t>
      </w:r>
    </w:p>
    <w:p>
      <w:pPr>
        <w:pStyle w:val="Heading3"/>
        <w:spacing w:after="100" w:before="280"/>
      </w:pPr>
      <w:r>
        <w:rPr>
          <w:rFonts w:ascii="Arial" w:cs="Arial" w:eastAsia="Arial" w:hAnsi="Arial"/>
          <w:b/>
          <w:bCs/>
          <w:color w:val="1A1A1A"/>
          <w:sz w:val="23"/>
          <w:szCs w:val="23"/>
        </w:rPr>
        <w:t xml:space="preserve">5.8.5 Debate as a ledger event</w:t>
      </w:r>
    </w:p>
    <w:p>
      <w:pPr>
        <w:spacing w:after="120" w:before="80" w:line="320"/>
      </w:pPr>
      <w:r>
        <w:rPr>
          <w:rFonts w:ascii="Arial" w:cs="Arial" w:eastAsia="Arial" w:hAnsi="Arial"/>
          <w:color w:val="1A1A1A"/>
          <w:sz w:val="22"/>
          <w:szCs w:val="22"/>
        </w:rPr>
        <w:t xml:space="preserve">Every debate is recorded in the debates table. The debate ID, participating agents, trigger topic, completion mode, and resolution are first-class data. Founders can later query "show me every debate between the CFO and CMO about pricing" — a real, useful pattern that emerges from accumulated meeting data.</w:t>
      </w:r>
    </w:p>
    <w:p>
      <w:pPr>
        <w:pStyle w:val="Heading2"/>
        <w:spacing w:after="140" w:before="360"/>
      </w:pPr>
      <w:r>
        <w:rPr>
          <w:rFonts w:ascii="Arial" w:cs="Arial" w:eastAsia="Arial" w:hAnsi="Arial"/>
          <w:b/>
          <w:bCs/>
          <w:color w:val="1A1A1A"/>
          <w:sz w:val="28"/>
          <w:szCs w:val="28"/>
        </w:rPr>
        <w:t xml:space="preserve">5.9 Failure modes and resilience</w:t>
      </w:r>
    </w:p>
    <w:p>
      <w:pPr>
        <w:pStyle w:val="Heading3"/>
        <w:spacing w:after="100" w:before="280"/>
      </w:pPr>
      <w:r>
        <w:rPr>
          <w:rFonts w:ascii="Arial" w:cs="Arial" w:eastAsia="Arial" w:hAnsi="Arial"/>
          <w:b/>
          <w:bCs/>
          <w:color w:val="1A1A1A"/>
          <w:sz w:val="23"/>
          <w:szCs w:val="23"/>
        </w:rPr>
        <w:t xml:space="preserve">5.9.1 Network disconnections</w:t>
      </w:r>
    </w:p>
    <w:p>
      <w:pPr>
        <w:spacing w:after="120" w:before="80" w:line="320"/>
      </w:pPr>
      <w:r>
        <w:rPr>
          <w:rFonts w:ascii="Arial" w:cs="Arial" w:eastAsia="Arial" w:hAnsi="Arial"/>
          <w:color w:val="1A1A1A"/>
          <w:sz w:val="22"/>
          <w:szCs w:val="22"/>
        </w:rPr>
        <w:t xml:space="preserve">Mobile networks drop. Browser tabs sleep. WiFi flaps. The platform handles disconnections without losing meeting state:</w:t>
      </w:r>
    </w:p>
    <w:p>
      <w:pPr>
        <w:spacing w:after="120" w:before="80" w:line="320"/>
      </w:pPr>
      <w:r>
        <w:rPr>
          <w:rFonts w:ascii="Arial" w:cs="Arial" w:eastAsia="Arial" w:hAnsi="Arial"/>
          <w:color w:val="1A1A1A"/>
          <w:sz w:val="22"/>
          <w:szCs w:val="22"/>
        </w:rPr>
        <w:t xml:space="preserve">The coordinator holds the authoritative meeting state. Clients are reflectors of state, not sources of it.</w:t>
      </w:r>
    </w:p>
    <w:p>
      <w:pPr>
        <w:spacing w:after="120" w:before="80" w:line="320"/>
      </w:pPr>
      <w:r>
        <w:rPr>
          <w:rFonts w:ascii="Arial" w:cs="Arial" w:eastAsia="Arial" w:hAnsi="Arial"/>
          <w:color w:val="1A1A1A"/>
          <w:sz w:val="22"/>
          <w:szCs w:val="22"/>
        </w:rPr>
        <w:t xml:space="preserve">On reconnect, the client reauthenticates, fetches the current state (transcript since last seen utterance, raised hands, ledger candidates accumulated), and resumes.</w:t>
      </w:r>
    </w:p>
    <w:p>
      <w:pPr>
        <w:spacing w:after="120" w:before="80" w:line="320"/>
      </w:pPr>
      <w:r>
        <w:rPr>
          <w:rFonts w:ascii="Arial" w:cs="Arial" w:eastAsia="Arial" w:hAnsi="Arial"/>
          <w:color w:val="1A1A1A"/>
          <w:sz w:val="22"/>
          <w:szCs w:val="22"/>
        </w:rPr>
        <w:t xml:space="preserve">Audio reconnection is handled by the media vendor SDK. Brief interruptions (under 10 seconds) appear as gaps in the transcript with a marker.</w:t>
      </w:r>
    </w:p>
    <w:p>
      <w:pPr>
        <w:spacing w:after="120" w:before="80" w:line="320"/>
      </w:pPr>
      <w:r>
        <w:rPr>
          <w:rFonts w:ascii="Arial" w:cs="Arial" w:eastAsia="Arial" w:hAnsi="Arial"/>
          <w:color w:val="1A1A1A"/>
          <w:sz w:val="22"/>
          <w:szCs w:val="22"/>
        </w:rPr>
        <w:t xml:space="preserve">Long disconnections (over 60 seconds) trigger a "you have rejoined; here is what you missed" summary, generated from the transcript span the user was absent for.</w:t>
      </w:r>
    </w:p>
    <w:p>
      <w:pPr>
        <w:pStyle w:val="Heading3"/>
        <w:spacing w:after="100" w:before="280"/>
      </w:pPr>
      <w:r>
        <w:rPr>
          <w:rFonts w:ascii="Arial" w:cs="Arial" w:eastAsia="Arial" w:hAnsi="Arial"/>
          <w:b/>
          <w:bCs/>
          <w:color w:val="1A1A1A"/>
          <w:sz w:val="23"/>
          <w:szCs w:val="23"/>
        </w:rPr>
        <w:t xml:space="preserve">5.9.2 STT or TTS provider failures</w:t>
      </w:r>
    </w:p>
    <w:p>
      <w:pPr>
        <w:spacing w:after="120" w:before="80" w:line="320"/>
      </w:pPr>
      <w:r>
        <w:rPr>
          <w:rFonts w:ascii="Arial" w:cs="Arial" w:eastAsia="Arial" w:hAnsi="Arial"/>
          <w:color w:val="1A1A1A"/>
          <w:sz w:val="22"/>
          <w:szCs w:val="22"/>
        </w:rPr>
        <w:t xml:space="preserve">When an STT or TTS provider fails (rate limited, returning errors, exceeding latency budget), the Routing Service automatically fails over to the next-best provider in the same tier slot. The failover is logged. The participant may experience a brief latency increase but the session continues.</w:t>
      </w:r>
    </w:p>
    <w:p>
      <w:pPr>
        <w:pStyle w:val="Heading3"/>
        <w:spacing w:after="100" w:before="280"/>
      </w:pPr>
      <w:r>
        <w:rPr>
          <w:rFonts w:ascii="Arial" w:cs="Arial" w:eastAsia="Arial" w:hAnsi="Arial"/>
          <w:b/>
          <w:bCs/>
          <w:color w:val="1A1A1A"/>
          <w:sz w:val="23"/>
          <w:szCs w:val="23"/>
        </w:rPr>
        <w:t xml:space="preserve">5.9.3 LLM provider failures</w:t>
      </w:r>
    </w:p>
    <w:p>
      <w:pPr>
        <w:spacing w:after="120" w:before="80" w:line="320"/>
      </w:pPr>
      <w:r>
        <w:rPr>
          <w:rFonts w:ascii="Arial" w:cs="Arial" w:eastAsia="Arial" w:hAnsi="Arial"/>
          <w:color w:val="1A1A1A"/>
          <w:sz w:val="22"/>
          <w:szCs w:val="22"/>
        </w:rPr>
        <w:t xml:space="preserve">Same pattern: failover to the next-best provider in the tier. If no provider in the tier is available, the platform degrades to the tier below and surfaces this honestly: "I am operating with reduced capability right now; this analysis may be less thorough than usual. The team is on it."</w:t>
      </w:r>
    </w:p>
    <w:p>
      <w:pPr>
        <w:pStyle w:val="Heading3"/>
        <w:spacing w:after="100" w:before="280"/>
      </w:pPr>
      <w:r>
        <w:rPr>
          <w:rFonts w:ascii="Arial" w:cs="Arial" w:eastAsia="Arial" w:hAnsi="Arial"/>
          <w:b/>
          <w:bCs/>
          <w:color w:val="1A1A1A"/>
          <w:sz w:val="23"/>
          <w:szCs w:val="23"/>
        </w:rPr>
        <w:t xml:space="preserve">5.9.4 Coordinator failures</w:t>
      </w:r>
    </w:p>
    <w:p>
      <w:pPr>
        <w:spacing w:after="120" w:before="80" w:line="320"/>
      </w:pPr>
      <w:r>
        <w:rPr>
          <w:rFonts w:ascii="Arial" w:cs="Arial" w:eastAsia="Arial" w:hAnsi="Arial"/>
          <w:color w:val="1A1A1A"/>
          <w:sz w:val="22"/>
          <w:szCs w:val="22"/>
        </w:rPr>
        <w:t xml:space="preserve">If the coordinator process holding a meeting crashes, the meeting briefly disconnects. A new coordinator is assigned, the meeting state is recovered from Postgres (the source of truth) and Redis (hot cache), and clients reconnect. Target recovery time: under 15 seconds. Meeting state durable up to the last persisted utterance and ledger candidate.</w:t>
      </w:r>
    </w:p>
    <w:p>
      <w:pPr>
        <w:pStyle w:val="Heading2"/>
        <w:spacing w:after="140" w:before="360"/>
      </w:pPr>
      <w:r>
        <w:rPr>
          <w:rFonts w:ascii="Arial" w:cs="Arial" w:eastAsia="Arial" w:hAnsi="Arial"/>
          <w:b/>
          <w:bCs/>
          <w:color w:val="1A1A1A"/>
          <w:sz w:val="28"/>
          <w:szCs w:val="28"/>
        </w:rPr>
        <w:t xml:space="preserve">5.10 Recording, transcripts, and exports</w:t>
      </w:r>
    </w:p>
    <w:p>
      <w:pPr>
        <w:spacing w:after="120" w:before="80" w:line="320"/>
      </w:pPr>
      <w:r>
        <w:rPr>
          <w:rFonts w:ascii="Arial" w:cs="Arial" w:eastAsia="Arial" w:hAnsi="Arial"/>
          <w:color w:val="1A1A1A"/>
          <w:sz w:val="22"/>
          <w:szCs w:val="22"/>
        </w:rPr>
        <w:t xml:space="preserve">Every meeting can be recorded with founder consent. Recording captures full audio (mixed) and per-participant audio (separate tracks for analysis). Transcripts are generated from STT output, indexed in the vector store, and made available in the founder’s session history.</w:t>
      </w:r>
    </w:p>
    <w:p>
      <w:pPr>
        <w:spacing w:after="120" w:before="80" w:line="320"/>
      </w:pPr>
      <w:r>
        <w:rPr>
          <w:rFonts w:ascii="Arial" w:cs="Arial" w:eastAsia="Arial" w:hAnsi="Arial"/>
          <w:color w:val="1A1A1A"/>
          <w:sz w:val="22"/>
          <w:szCs w:val="22"/>
        </w:rPr>
        <w:t xml:space="preserve">Exports include: a Markdown summary of the meeting, the decision and action ledger entries created in the meeting, the full transcript with attribution, the audio recording (if recorded), the agent contribution records. Exports are available immediately after session close and are tenant-scoped.</w:t>
      </w:r>
    </w:p>
    <w:p>
      <w:pPr>
        <w:pStyle w:val="Heading2"/>
        <w:spacing w:after="140" w:before="360"/>
      </w:pPr>
      <w:r>
        <w:rPr>
          <w:rFonts w:ascii="Arial" w:cs="Arial" w:eastAsia="Arial" w:hAnsi="Arial"/>
          <w:b/>
          <w:bCs/>
          <w:color w:val="1A1A1A"/>
          <w:sz w:val="28"/>
          <w:szCs w:val="28"/>
        </w:rPr>
        <w:t xml:space="preserve">5.11 What this layer locks</w:t>
      </w:r>
    </w:p>
    <w:p>
      <w:pPr>
        <w:spacing w:after="120" w:before="80" w:line="320"/>
      </w:pPr>
      <w:r>
        <w:rPr>
          <w:rFonts w:ascii="Arial" w:cs="Arial" w:eastAsia="Arial" w:hAnsi="Arial"/>
          <w:color w:val="1A1A1A"/>
          <w:sz w:val="22"/>
          <w:szCs w:val="22"/>
        </w:rPr>
        <w:t xml:space="preserve">Per-participant audio tracks for diarisation; mixed-track scenarios deferred</w:t>
      </w:r>
    </w:p>
    <w:p>
      <w:pPr>
        <w:spacing w:after="120" w:before="80" w:line="320"/>
      </w:pPr>
      <w:r>
        <w:rPr>
          <w:rFonts w:ascii="Arial" w:cs="Arial" w:eastAsia="Arial" w:hAnsi="Arial"/>
          <w:color w:val="1A1A1A"/>
          <w:sz w:val="22"/>
          <w:szCs w:val="22"/>
        </w:rPr>
        <w:t xml:space="preserve">Streaming STT and streaming TTS as the latency strategy</w:t>
      </w:r>
    </w:p>
    <w:p>
      <w:pPr>
        <w:spacing w:after="120" w:before="80" w:line="320"/>
      </w:pPr>
      <w:r>
        <w:rPr>
          <w:rFonts w:ascii="Arial" w:cs="Arial" w:eastAsia="Arial" w:hAnsi="Arial"/>
          <w:color w:val="1A1A1A"/>
          <w:sz w:val="22"/>
          <w:szCs w:val="22"/>
        </w:rPr>
        <w:t xml:space="preserve">Audio and text as equal first-class input modalities</w:t>
      </w:r>
    </w:p>
    <w:p>
      <w:pPr>
        <w:spacing w:after="120" w:before="80" w:line="320"/>
      </w:pPr>
      <w:r>
        <w:rPr>
          <w:rFonts w:ascii="Arial" w:cs="Arial" w:eastAsia="Arial" w:hAnsi="Arial"/>
          <w:color w:val="1A1A1A"/>
          <w:sz w:val="22"/>
          <w:szCs w:val="22"/>
        </w:rPr>
        <w:t xml:space="preserve">Hand-raise protocol with voice acknowledgement and click as always-available fallback</w:t>
      </w:r>
    </w:p>
    <w:p>
      <w:pPr>
        <w:spacing w:after="120" w:before="80" w:line="320"/>
      </w:pPr>
      <w:r>
        <w:rPr>
          <w:rFonts w:ascii="Arial" w:cs="Arial" w:eastAsia="Arial" w:hAnsi="Arial"/>
          <w:color w:val="1A1A1A"/>
          <w:sz w:val="22"/>
          <w:szCs w:val="22"/>
        </w:rPr>
        <w:t xml:space="preserve">Pre-warmed agent contributions; acknowledgement triggers final synthesis, not full reasoning</w:t>
      </w:r>
    </w:p>
    <w:p>
      <w:pPr>
        <w:spacing w:after="120" w:before="80" w:line="320"/>
      </w:pPr>
      <w:r>
        <w:rPr>
          <w:rFonts w:ascii="Arial" w:cs="Arial" w:eastAsia="Arial" w:hAnsi="Arial"/>
          <w:color w:val="1A1A1A"/>
          <w:sz w:val="22"/>
          <w:szCs w:val="22"/>
        </w:rPr>
        <w:t xml:space="preserve">Graduated confirmation in the end-of-meeting review (routine batch / substantive per-item / high-stakes full evidence)</w:t>
      </w:r>
    </w:p>
    <w:p>
      <w:pPr>
        <w:spacing w:after="120" w:before="80" w:line="320"/>
      </w:pPr>
      <w:r>
        <w:rPr>
          <w:rFonts w:ascii="Arial" w:cs="Arial" w:eastAsia="Arial" w:hAnsi="Arial"/>
          <w:color w:val="1A1A1A"/>
          <w:sz w:val="22"/>
          <w:szCs w:val="22"/>
        </w:rPr>
        <w:t xml:space="preserve">Conflicts must resolve before session closes</w:t>
      </w:r>
    </w:p>
    <w:p>
      <w:pPr>
        <w:spacing w:after="120" w:before="80" w:line="320"/>
      </w:pPr>
      <w:r>
        <w:rPr>
          <w:rFonts w:ascii="Arial" w:cs="Arial" w:eastAsia="Arial" w:hAnsi="Arial"/>
          <w:color w:val="1A1A1A"/>
          <w:sz w:val="22"/>
          <w:szCs w:val="22"/>
        </w:rPr>
        <w:t xml:space="preserve">Background debate with three completion modes plus timeout</w:t>
      </w:r>
    </w:p>
    <w:p>
      <w:pPr>
        <w:spacing w:after="120" w:before="80" w:line="320"/>
      </w:pPr>
      <w:r>
        <w:rPr>
          <w:rFonts w:ascii="Arial" w:cs="Arial" w:eastAsia="Arial" w:hAnsi="Arial"/>
          <w:color w:val="1A1A1A"/>
          <w:sz w:val="22"/>
          <w:szCs w:val="22"/>
        </w:rPr>
        <w:t xml:space="preserve">Network and provider failure resilience as engineering commitments</w:t>
      </w:r>
    </w:p>
    <w:p>
      <w:pPr>
        <w:pStyle w:val="Heading1"/>
        <w:spacing w:after="200" w:before="480"/>
      </w:pPr>
      <w:r>
        <w:rPr>
          <w:rFonts w:ascii="Arial" w:cs="Arial" w:eastAsia="Arial" w:hAnsi="Arial"/>
          <w:b/>
          <w:bCs/>
          <w:color w:val="4A3FC7"/>
          <w:sz w:val="36"/>
          <w:szCs w:val="36"/>
        </w:rPr>
        <w:t xml:space="preserve">6. Layer 5 — Agent and Controller Architecture</w:t>
      </w:r>
    </w:p>
    <w:p>
      <w:pPr>
        <w:spacing w:after="120" w:before="80" w:line="320"/>
      </w:pPr>
      <w:r>
        <w:rPr>
          <w:rFonts w:ascii="Arial" w:cs="Arial" w:eastAsia="Arial" w:hAnsi="Arial"/>
          <w:color w:val="1A1A1A"/>
          <w:sz w:val="22"/>
          <w:szCs w:val="22"/>
        </w:rPr>
        <w:t xml:space="preserve">The agent runtime is what makes VirtualOffice AI different from every other AI product. This layer specifies how digital agents are built, how they reason, how they decide when to contribute, how they handle competence limits, how they hold conviction, and how the agent definition format makes new roles a configuration change rather than a code release.</w:t>
      </w:r>
    </w:p>
    <w:p>
      <w:pPr>
        <w:pStyle w:val="Heading2"/>
        <w:spacing w:after="140" w:before="360"/>
      </w:pPr>
      <w:r>
        <w:rPr>
          <w:rFonts w:ascii="Arial" w:cs="Arial" w:eastAsia="Arial" w:hAnsi="Arial"/>
          <w:b/>
          <w:bCs/>
          <w:color w:val="1A1A1A"/>
          <w:sz w:val="28"/>
          <w:szCs w:val="28"/>
        </w:rPr>
        <w:t xml:space="preserve">6.1 Agents as controllers, not single calls</w:t>
      </w:r>
    </w:p>
    <w:p>
      <w:pPr>
        <w:spacing w:after="120" w:before="80" w:line="320"/>
      </w:pPr>
      <w:r>
        <w:rPr>
          <w:rFonts w:ascii="Arial" w:cs="Arial" w:eastAsia="Arial" w:hAnsi="Arial"/>
          <w:color w:val="1A1A1A"/>
          <w:sz w:val="22"/>
          <w:szCs w:val="22"/>
        </w:rPr>
        <w:t xml:space="preserve">A digital agent is not a single LLM prompt. It is a controller that holds state, observes the meeting transcript, dispatches sub-agents, evaluates its competence, drafts contributions, and decides when to raise a hand. The controller is the load-bearing concept of this layer.</w:t>
      </w:r>
    </w:p>
    <w:p>
      <w:pPr>
        <w:spacing w:after="120" w:before="80" w:line="320"/>
      </w:pPr>
      <w:r>
        <w:rPr>
          <w:rFonts w:ascii="Arial" w:cs="Arial" w:eastAsia="Arial" w:hAnsi="Arial"/>
          <w:color w:val="1A1A1A"/>
          <w:sz w:val="22"/>
          <w:szCs w:val="22"/>
        </w:rPr>
        <w:t xml:space="preserve">Each agent in a meeting is a controller instance. Multiple agents in one meeting means multiple controllers running concurrently, each with its own state and sub-agent fleet, all observing the same transcript stream.</w:t>
      </w:r>
    </w:p>
    <w:p>
      <w:pPr>
        <w:pStyle w:val="Heading3"/>
        <w:spacing w:after="100" w:before="280"/>
      </w:pPr>
      <w:r>
        <w:rPr>
          <w:rFonts w:ascii="Arial" w:cs="Arial" w:eastAsia="Arial" w:hAnsi="Arial"/>
          <w:b/>
          <w:bCs/>
          <w:color w:val="1A1A1A"/>
          <w:sz w:val="23"/>
          <w:szCs w:val="23"/>
        </w:rPr>
        <w:t xml:space="preserve">6.1.1 Controller state</w:t>
      </w:r>
    </w:p>
    <w:p>
      <w:pPr>
        <w:spacing w:after="120" w:before="80" w:line="320"/>
      </w:pPr>
      <w:r>
        <w:rPr>
          <w:rFonts w:ascii="Arial" w:cs="Arial" w:eastAsia="Arial" w:hAnsi="Arial"/>
          <w:color w:val="1A1A1A"/>
          <w:sz w:val="22"/>
          <w:szCs w:val="22"/>
        </w:rPr>
        <w:t xml:space="preserve">A controller holds:</w:t>
      </w:r>
    </w:p>
    <w:p>
      <w:pPr>
        <w:spacing w:after="120" w:before="80" w:line="320"/>
      </w:pPr>
      <w:r>
        <w:rPr>
          <w:rFonts w:ascii="Arial" w:cs="Arial" w:eastAsia="Arial" w:hAnsi="Arial"/>
          <w:color w:val="1A1A1A"/>
          <w:sz w:val="22"/>
          <w:szCs w:val="22"/>
        </w:rPr>
        <w:t xml:space="preserve">The agent definition (loaded at meeting start; pinned to a specific version for the meeting duration)</w:t>
      </w:r>
    </w:p>
    <w:p>
      <w:pPr>
        <w:spacing w:after="120" w:before="80" w:line="320"/>
      </w:pPr>
      <w:r>
        <w:rPr>
          <w:rFonts w:ascii="Arial" w:cs="Arial" w:eastAsia="Arial" w:hAnsi="Arial"/>
          <w:color w:val="1A1A1A"/>
          <w:sz w:val="22"/>
          <w:szCs w:val="22"/>
        </w:rPr>
        <w:t xml:space="preserve">The relevant brain context (loaded at meeting start; refreshed if the brain changes during the meeting)</w:t>
      </w:r>
    </w:p>
    <w:p>
      <w:pPr>
        <w:spacing w:after="120" w:before="80" w:line="320"/>
      </w:pPr>
      <w:r>
        <w:rPr>
          <w:rFonts w:ascii="Arial" w:cs="Arial" w:eastAsia="Arial" w:hAnsi="Arial"/>
          <w:color w:val="1A1A1A"/>
          <w:sz w:val="22"/>
          <w:szCs w:val="22"/>
        </w:rPr>
        <w:t xml:space="preserve">The active ledger entries touching the agent’s domain</w:t>
      </w:r>
    </w:p>
    <w:p>
      <w:pPr>
        <w:spacing w:after="120" w:before="80" w:line="320"/>
      </w:pPr>
      <w:r>
        <w:rPr>
          <w:rFonts w:ascii="Arial" w:cs="Arial" w:eastAsia="Arial" w:hAnsi="Arial"/>
          <w:color w:val="1A1A1A"/>
          <w:sz w:val="22"/>
          <w:szCs w:val="22"/>
        </w:rPr>
        <w:t xml:space="preserve">The observed transcript window (sliding; controller decides retention based on context limits)</w:t>
      </w:r>
    </w:p>
    <w:p>
      <w:pPr>
        <w:spacing w:after="120" w:before="80" w:line="320"/>
      </w:pPr>
      <w:r>
        <w:rPr>
          <w:rFonts w:ascii="Arial" w:cs="Arial" w:eastAsia="Arial" w:hAnsi="Arial"/>
          <w:color w:val="1A1A1A"/>
          <w:sz w:val="22"/>
          <w:szCs w:val="22"/>
        </w:rPr>
        <w:t xml:space="preserve">The current draft contribution (continuously refined as transcript advances)</w:t>
      </w:r>
    </w:p>
    <w:p>
      <w:pPr>
        <w:spacing w:after="120" w:before="80" w:line="320"/>
      </w:pPr>
      <w:r>
        <w:rPr>
          <w:rFonts w:ascii="Arial" w:cs="Arial" w:eastAsia="Arial" w:hAnsi="Arial"/>
          <w:color w:val="1A1A1A"/>
          <w:sz w:val="22"/>
          <w:szCs w:val="22"/>
        </w:rPr>
        <w:t xml:space="preserve">The current sub-agent fleet (which sub-agents are running, what they are computing)</w:t>
      </w:r>
    </w:p>
    <w:p>
      <w:pPr>
        <w:spacing w:after="120" w:before="80" w:line="320"/>
      </w:pPr>
      <w:r>
        <w:rPr>
          <w:rFonts w:ascii="Arial" w:cs="Arial" w:eastAsia="Arial" w:hAnsi="Arial"/>
          <w:color w:val="1A1A1A"/>
          <w:sz w:val="22"/>
          <w:szCs w:val="22"/>
        </w:rPr>
        <w:t xml:space="preserve">Performance signals from this session (peer agreement, founder pushback, factual grounding)</w:t>
      </w:r>
    </w:p>
    <w:p>
      <w:pPr>
        <w:pStyle w:val="Heading3"/>
        <w:spacing w:after="100" w:before="280"/>
      </w:pPr>
      <w:r>
        <w:rPr>
          <w:rFonts w:ascii="Arial" w:cs="Arial" w:eastAsia="Arial" w:hAnsi="Arial"/>
          <w:b/>
          <w:bCs/>
          <w:color w:val="1A1A1A"/>
          <w:sz w:val="23"/>
          <w:szCs w:val="23"/>
        </w:rPr>
        <w:t xml:space="preserve">6.1.2 Controller execution loop</w:t>
      </w:r>
    </w:p>
    <w:p>
      <w:pPr>
        <w:spacing w:after="120" w:before="80" w:line="320"/>
      </w:pPr>
      <w:r>
        <w:rPr>
          <w:rFonts w:ascii="Arial" w:cs="Arial" w:eastAsia="Arial" w:hAnsi="Arial"/>
          <w:color w:val="1A1A1A"/>
          <w:sz w:val="22"/>
          <w:szCs w:val="22"/>
        </w:rPr>
        <w:t xml:space="preserve">Each controller runs a continuous loop while the meeting is active:</w:t>
      </w:r>
    </w:p>
    <w:p>
      <w:pPr>
        <w:spacing w:after="120" w:before="80" w:line="320"/>
      </w:pPr>
      <w:r>
        <w:rPr>
          <w:rFonts w:ascii="Arial" w:cs="Arial" w:eastAsia="Arial" w:hAnsi="Arial"/>
          <w:color w:val="1A1A1A"/>
          <w:sz w:val="22"/>
          <w:szCs w:val="22"/>
        </w:rPr>
        <w:t xml:space="preserve">Observe: read the latest utterances from the transcript stream. Update the working context.</w:t>
      </w:r>
    </w:p>
    <w:p>
      <w:pPr>
        <w:spacing w:after="120" w:before="80" w:line="320"/>
      </w:pPr>
      <w:r>
        <w:rPr>
          <w:rFonts w:ascii="Arial" w:cs="Arial" w:eastAsia="Arial" w:hAnsi="Arial"/>
          <w:color w:val="1A1A1A"/>
          <w:sz w:val="22"/>
          <w:szCs w:val="22"/>
        </w:rPr>
        <w:t xml:space="preserve">Evaluate relevance: does the current discussion engage the agent’s domain? Run a lightweight relevance scoring against the agent’s competence model.</w:t>
      </w:r>
    </w:p>
    <w:p>
      <w:pPr>
        <w:spacing w:after="120" w:before="80" w:line="320"/>
      </w:pPr>
      <w:r>
        <w:rPr>
          <w:rFonts w:ascii="Arial" w:cs="Arial" w:eastAsia="Arial" w:hAnsi="Arial"/>
          <w:color w:val="1A1A1A"/>
          <w:sz w:val="22"/>
          <w:szCs w:val="22"/>
        </w:rPr>
        <w:t xml:space="preserve">Dispatch sub-agents: if relevance is positive, dispatch sub-agents to fetch data, analyse, retrieve documents, run calculations — in parallel.</w:t>
      </w:r>
    </w:p>
    <w:p>
      <w:pPr>
        <w:spacing w:after="120" w:before="80" w:line="320"/>
      </w:pPr>
      <w:r>
        <w:rPr>
          <w:rFonts w:ascii="Arial" w:cs="Arial" w:eastAsia="Arial" w:hAnsi="Arial"/>
          <w:color w:val="1A1A1A"/>
          <w:sz w:val="22"/>
          <w:szCs w:val="22"/>
        </w:rPr>
        <w:t xml:space="preserve">Synthesise draft: as sub-agent results return, refine the draft contribution. Apply conviction calibration. Run the calibrated unknowns check.</w:t>
      </w:r>
    </w:p>
    <w:p>
      <w:pPr>
        <w:spacing w:after="120" w:before="80" w:line="320"/>
      </w:pPr>
      <w:r>
        <w:rPr>
          <w:rFonts w:ascii="Arial" w:cs="Arial" w:eastAsia="Arial" w:hAnsi="Arial"/>
          <w:color w:val="1A1A1A"/>
          <w:sz w:val="22"/>
          <w:szCs w:val="22"/>
        </w:rPr>
        <w:t xml:space="preserve">Decide hand-raise: when the draft is materially complete and the trigger conditions are met (relevance high, conviction confident, content not already covered), publish a hand-raise event.</w:t>
      </w:r>
    </w:p>
    <w:p>
      <w:pPr>
        <w:spacing w:after="120" w:before="80" w:line="320"/>
      </w:pPr>
      <w:r>
        <w:rPr>
          <w:rFonts w:ascii="Arial" w:cs="Arial" w:eastAsia="Arial" w:hAnsi="Arial"/>
          <w:color w:val="1A1A1A"/>
          <w:sz w:val="22"/>
          <w:szCs w:val="22"/>
        </w:rPr>
        <w:t xml:space="preserve">Wait for acknowledgement: the controller does not speak until acknowledged. While waiting, the controller continues observing and may withdraw the hand-raise if context shifts.</w:t>
      </w:r>
    </w:p>
    <w:p>
      <w:pPr>
        <w:spacing w:after="120" w:before="80" w:line="320"/>
      </w:pPr>
      <w:r>
        <w:rPr>
          <w:rFonts w:ascii="Arial" w:cs="Arial" w:eastAsia="Arial" w:hAnsi="Arial"/>
          <w:color w:val="1A1A1A"/>
          <w:sz w:val="22"/>
          <w:szCs w:val="22"/>
        </w:rPr>
        <w:t xml:space="preserve">Produce: on acknowledgement, run the final synthesis call (via Routing Service) and stream the contribution.</w:t>
      </w:r>
    </w:p>
    <w:p>
      <w:pPr>
        <w:spacing w:after="120" w:before="80" w:line="320"/>
      </w:pPr>
      <w:r>
        <w:rPr>
          <w:rFonts w:ascii="Arial" w:cs="Arial" w:eastAsia="Arial" w:hAnsi="Arial"/>
          <w:color w:val="1A1A1A"/>
          <w:sz w:val="22"/>
          <w:szCs w:val="22"/>
        </w:rPr>
        <w:t xml:space="preserve">Post-contribute: capture evaluation events. Update internal state. Resume observation.</w:t>
      </w:r>
    </w:p>
    <w:p>
      <w:pPr>
        <w:pStyle w:val="Heading2"/>
        <w:spacing w:after="140" w:before="360"/>
      </w:pPr>
      <w:r>
        <w:rPr>
          <w:rFonts w:ascii="Arial" w:cs="Arial" w:eastAsia="Arial" w:hAnsi="Arial"/>
          <w:b/>
          <w:bCs/>
          <w:color w:val="1A1A1A"/>
          <w:sz w:val="28"/>
          <w:szCs w:val="28"/>
        </w:rPr>
        <w:t xml:space="preserve">6.2 Sub-agents and the dispatch fleet</w:t>
      </w:r>
    </w:p>
    <w:p>
      <w:pPr>
        <w:spacing w:after="120" w:before="80" w:line="320"/>
      </w:pPr>
      <w:r>
        <w:rPr>
          <w:rFonts w:ascii="Arial" w:cs="Arial" w:eastAsia="Arial" w:hAnsi="Arial"/>
          <w:color w:val="1A1A1A"/>
          <w:sz w:val="22"/>
          <w:szCs w:val="22"/>
        </w:rPr>
        <w:t xml:space="preserve">Sub-agents are the controller’s tools. They are not separate personas; they are task-scoped LLM calls (or non-LLM tool calls) that the controller dispatches and aggregates.</w:t>
      </w:r>
    </w:p>
    <w:p>
      <w:pPr>
        <w:pStyle w:val="Heading3"/>
        <w:spacing w:after="100" w:before="280"/>
      </w:pPr>
      <w:r>
        <w:rPr>
          <w:rFonts w:ascii="Arial" w:cs="Arial" w:eastAsia="Arial" w:hAnsi="Arial"/>
          <w:b/>
          <w:bCs/>
          <w:color w:val="1A1A1A"/>
          <w:sz w:val="23"/>
          <w:szCs w:val="23"/>
        </w:rPr>
        <w:t xml:space="preserve">6.2.1 Sub-agent types</w:t>
      </w:r>
    </w:p>
    <w:p>
      <w:pPr>
        <w:pStyle w:val="Heading3"/>
        <w:spacing w:after="100" w:before="280"/>
      </w:pPr>
      <w:r>
        <w:rPr>
          <w:rFonts w:ascii="Arial" w:cs="Arial" w:eastAsia="Arial" w:hAnsi="Arial"/>
          <w:b/>
          <w:bCs/>
          <w:color w:val="1A1A1A"/>
          <w:sz w:val="23"/>
          <w:szCs w:val="23"/>
        </w:rPr>
        <w:t xml:space="preserve">6.2.2 Dispatch policy</w:t>
      </w:r>
    </w:p>
    <w:p>
      <w:pPr>
        <w:spacing w:after="120" w:before="80" w:line="320"/>
      </w:pPr>
      <w:r>
        <w:rPr>
          <w:rFonts w:ascii="Arial" w:cs="Arial" w:eastAsia="Arial" w:hAnsi="Arial"/>
          <w:color w:val="1A1A1A"/>
          <w:sz w:val="22"/>
          <w:szCs w:val="22"/>
        </w:rPr>
        <w:t xml:space="preserve">Sub-agent dispatch is governed by the agent definition’s sub_agent_dispatch field. The policy maps trigger patterns (in the transcript or in the controller’s state) to sub-agent invocations. Dispatch is parallel by default; the controller does not block on any single sub-agent.</w:t>
      </w:r>
    </w:p>
    <w:p>
      <w:pPr>
        <w:spacing w:after="120" w:before="80" w:line="320"/>
      </w:pPr>
      <w:r>
        <w:rPr>
          <w:rFonts w:ascii="Arial" w:cs="Arial" w:eastAsia="Arial" w:hAnsi="Arial"/>
          <w:color w:val="1A1A1A"/>
          <w:sz w:val="22"/>
          <w:szCs w:val="22"/>
        </w:rPr>
        <w:t xml:space="preserve">A representative dispatch policy fragment, for the Digital CFO:</w:t>
      </w:r>
    </w:p>
    <w:p>
      <w:pPr>
        <w:spacing w:after="120" w:before="80" w:line="320"/>
      </w:pPr>
      <w:r>
        <w:rPr>
          <w:rFonts w:ascii="Arial" w:cs="Arial" w:eastAsia="Arial" w:hAnsi="Arial"/>
          <w:color w:val="1A1A1A"/>
          <w:sz w:val="22"/>
          <w:szCs w:val="22"/>
        </w:rPr>
        <w:t xml:space="preserve">{</w:t>
      </w:r>
    </w:p>
    <w:p>
      <w:pPr>
        <w:spacing w:after="120" w:before="80" w:line="320"/>
      </w:pPr>
      <w:r>
        <w:rPr>
          <w:rFonts w:ascii="Arial" w:cs="Arial" w:eastAsia="Arial" w:hAnsi="Arial"/>
          <w:color w:val="1A1A1A"/>
          <w:sz w:val="22"/>
          <w:szCs w:val="22"/>
        </w:rPr>
        <w:t xml:space="preserve">  "triggers":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"pattern": "founder mentions revenue, MRR, ARR, burn, runway, or financial metric",</w:t>
      </w:r>
    </w:p>
    <w:p>
      <w:pPr>
        <w:spacing w:after="120" w:before="80" w:line="320"/>
      </w:pPr>
      <w:r>
        <w:rPr>
          <w:rFonts w:ascii="Arial" w:cs="Arial" w:eastAsia="Arial" w:hAnsi="Arial"/>
          <w:color w:val="1A1A1A"/>
          <w:sz w:val="22"/>
          <w:szCs w:val="22"/>
        </w:rPr>
        <w:t xml:space="preserve">      "dispatch": [</w:t>
      </w:r>
    </w:p>
    <w:p>
      <w:pPr>
        <w:spacing w:after="120" w:before="80" w:line="320"/>
      </w:pPr>
      <w:r>
        <w:rPr>
          <w:rFonts w:ascii="Arial" w:cs="Arial" w:eastAsia="Arial" w:hAnsi="Arial"/>
          <w:color w:val="1A1A1A"/>
          <w:sz w:val="22"/>
          <w:szCs w:val="22"/>
        </w:rPr>
        <w:t xml:space="preserve">        { "sub_agent": "brain_retriever", "scope": "financial_state" },</w:t>
      </w:r>
    </w:p>
    <w:p>
      <w:pPr>
        <w:spacing w:after="120" w:before="80" w:line="320"/>
      </w:pPr>
      <w:r>
        <w:rPr>
          <w:rFonts w:ascii="Arial" w:cs="Arial" w:eastAsia="Arial" w:hAnsi="Arial"/>
          <w:color w:val="1A1A1A"/>
          <w:sz w:val="22"/>
          <w:szCs w:val="22"/>
        </w:rPr>
        <w:t xml:space="preserve">        { "sub_agent": "database_query", "source": "stripe", "metric": "current_mrr" },</w:t>
      </w:r>
    </w:p>
    <w:p>
      <w:pPr>
        <w:spacing w:after="120" w:before="80" w:line="320"/>
      </w:pPr>
      <w:r>
        <w:rPr>
          <w:rFonts w:ascii="Arial" w:cs="Arial" w:eastAsia="Arial" w:hAnsi="Arial"/>
          <w:color w:val="1A1A1A"/>
          <w:sz w:val="22"/>
          <w:szCs w:val="22"/>
        </w:rPr>
        <w:t xml:space="preserve">        { "sub_agent": "calculator", "task": "runway_projection"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"pattern": "founder mentions hiring or headcount",</w:t>
      </w:r>
    </w:p>
    <w:p>
      <w:pPr>
        <w:spacing w:after="120" w:before="80" w:line="320"/>
      </w:pPr>
      <w:r>
        <w:rPr>
          <w:rFonts w:ascii="Arial" w:cs="Arial" w:eastAsia="Arial" w:hAnsi="Arial"/>
          <w:color w:val="1A1A1A"/>
          <w:sz w:val="22"/>
          <w:szCs w:val="22"/>
        </w:rPr>
        <w:t xml:space="preserve">      "dispatch": [</w:t>
      </w:r>
    </w:p>
    <w:p>
      <w:pPr>
        <w:spacing w:after="120" w:before="80" w:line="320"/>
      </w:pPr>
      <w:r>
        <w:rPr>
          <w:rFonts w:ascii="Arial" w:cs="Arial" w:eastAsia="Arial" w:hAnsi="Arial"/>
          <w:color w:val="1A1A1A"/>
          <w:sz w:val="22"/>
          <w:szCs w:val="22"/>
        </w:rPr>
        <w:t xml:space="preserve">        { "sub_agent": "brain_retriever", "scope": "headcount_history,burn_implications" },</w:t>
      </w:r>
    </w:p>
    <w:p>
      <w:pPr>
        <w:spacing w:after="120" w:before="80" w:line="320"/>
      </w:pPr>
      <w:r>
        <w:rPr>
          <w:rFonts w:ascii="Arial" w:cs="Arial" w:eastAsia="Arial" w:hAnsi="Arial"/>
          <w:color w:val="1A1A1A"/>
          <w:sz w:val="22"/>
          <w:szCs w:val="22"/>
        </w:rPr>
        <w:t xml:space="preserve">        { "sub_agent": "calculator", "task": "headcount_burn_impact"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w:t>
      </w:r>
    </w:p>
    <w:p>
      <w:pPr>
        <w:pStyle w:val="Heading3"/>
        <w:spacing w:after="100" w:before="280"/>
      </w:pPr>
      <w:r>
        <w:rPr>
          <w:rFonts w:ascii="Arial" w:cs="Arial" w:eastAsia="Arial" w:hAnsi="Arial"/>
          <w:b/>
          <w:bCs/>
          <w:color w:val="1A1A1A"/>
          <w:sz w:val="23"/>
          <w:szCs w:val="23"/>
        </w:rPr>
        <w:t xml:space="preserve">6.2.3 Sub-agent budget</w:t>
      </w:r>
    </w:p>
    <w:p>
      <w:pPr>
        <w:spacing w:after="120" w:before="80" w:line="320"/>
      </w:pPr>
      <w:r>
        <w:rPr>
          <w:rFonts w:ascii="Arial" w:cs="Arial" w:eastAsia="Arial" w:hAnsi="Arial"/>
          <w:color w:val="1A1A1A"/>
          <w:sz w:val="22"/>
          <w:szCs w:val="22"/>
        </w:rPr>
        <w:t xml:space="preserve">Sub-agent calls cost money and add latency. Each controller has a budget for sub-agent dispatch per meeting, configurable per customer tier. The budget prevents runaway dispatch when many triggers fire at once. When budget is reached, the controller falls back to brain-only retrieval and uses cached sub-agent results.</w:t>
      </w:r>
    </w:p>
    <w:p>
      <w:pPr>
        <w:pStyle w:val="Heading2"/>
        <w:spacing w:after="140" w:before="360"/>
      </w:pPr>
      <w:r>
        <w:rPr>
          <w:rFonts w:ascii="Arial" w:cs="Arial" w:eastAsia="Arial" w:hAnsi="Arial"/>
          <w:b/>
          <w:bCs/>
          <w:color w:val="1A1A1A"/>
          <w:sz w:val="28"/>
          <w:szCs w:val="28"/>
        </w:rPr>
        <w:t xml:space="preserve">6.3 The competence model</w:t>
      </w:r>
    </w:p>
    <w:p>
      <w:pPr>
        <w:spacing w:after="120" w:before="80" w:line="320"/>
      </w:pPr>
      <w:r>
        <w:rPr>
          <w:rFonts w:ascii="Arial" w:cs="Arial" w:eastAsia="Arial" w:hAnsi="Arial"/>
          <w:color w:val="1A1A1A"/>
          <w:sz w:val="22"/>
          <w:szCs w:val="22"/>
        </w:rPr>
        <w:t xml:space="preserve">Every agent has a structured competence model that governs when the agent contributes and when it acknowledges a gap.</w:t>
      </w:r>
    </w:p>
    <w:p>
      <w:pPr>
        <w:pStyle w:val="Heading3"/>
        <w:spacing w:after="100" w:before="280"/>
      </w:pPr>
      <w:r>
        <w:rPr>
          <w:rFonts w:ascii="Arial" w:cs="Arial" w:eastAsia="Arial" w:hAnsi="Arial"/>
          <w:b/>
          <w:bCs/>
          <w:color w:val="1A1A1A"/>
          <w:sz w:val="23"/>
          <w:szCs w:val="23"/>
        </w:rPr>
        <w:t xml:space="preserve">6.3.1 Competence model structure</w:t>
      </w:r>
    </w:p>
    <w:p>
      <w:pPr>
        <w:spacing w:after="120" w:before="80" w:line="320"/>
      </w:pPr>
      <w:r>
        <w:rPr>
          <w:rFonts w:ascii="Arial" w:cs="Arial" w:eastAsia="Arial" w:hAnsi="Arial"/>
          <w:color w:val="1A1A1A"/>
          <w:sz w:val="22"/>
          <w:szCs w:val="22"/>
        </w:rPr>
        <w:t xml:space="preserve">Each agent definition declares competence across two dimensions: domain (what the agent reasons about) and language (what languages the agent reasons in). For each (domain, language) pair, the model declares:</w:t>
      </w:r>
    </w:p>
    <w:p>
      <w:pPr>
        <w:spacing w:after="120" w:before="80" w:line="320"/>
      </w:pPr>
      <w:r>
        <w:rPr>
          <w:rFonts w:ascii="Arial" w:cs="Arial" w:eastAsia="Arial" w:hAnsi="Arial"/>
          <w:color w:val="1A1A1A"/>
          <w:sz w:val="22"/>
          <w:szCs w:val="22"/>
        </w:rPr>
        <w:t xml:space="preserve">Reliable: the agent can contribute confidently. Sample queries it should handle well. Lower bound on competence score (1.0 scale).</w:t>
      </w:r>
    </w:p>
    <w:p>
      <w:pPr>
        <w:spacing w:after="120" w:before="80" w:line="320"/>
      </w:pPr>
      <w:r>
        <w:rPr>
          <w:rFonts w:ascii="Arial" w:cs="Arial" w:eastAsia="Arial" w:hAnsi="Arial"/>
          <w:color w:val="1A1A1A"/>
          <w:sz w:val="22"/>
          <w:szCs w:val="22"/>
        </w:rPr>
        <w:t xml:space="preserve">Partial: the agent can contribute with explicit hedging. Specific limitations named.</w:t>
      </w:r>
    </w:p>
    <w:p>
      <w:pPr>
        <w:spacing w:after="120" w:before="80" w:line="320"/>
      </w:pPr>
      <w:r>
        <w:rPr>
          <w:rFonts w:ascii="Arial" w:cs="Arial" w:eastAsia="Arial" w:hAnsi="Arial"/>
          <w:color w:val="1A1A1A"/>
          <w:sz w:val="22"/>
          <w:szCs w:val="22"/>
        </w:rPr>
        <w:t xml:space="preserve">Outside: the agent should not contribute; should acknowledge the gap and suggest a specialist.</w:t>
      </w:r>
    </w:p>
    <w:p>
      <w:pPr>
        <w:spacing w:after="120" w:before="80" w:line="320"/>
      </w:pPr>
      <w:r>
        <w:rPr>
          <w:rFonts w:ascii="Arial" w:cs="Arial" w:eastAsia="Arial" w:hAnsi="Arial"/>
          <w:color w:val="1A1A1A"/>
          <w:sz w:val="22"/>
          <w:szCs w:val="22"/>
        </w:rPr>
        <w:t xml:space="preserve">A representative competence model fragment for the Digital CFO:</w:t>
      </w:r>
    </w:p>
    <w:p>
      <w:pPr>
        <w:spacing w:after="120" w:before="80" w:line="320"/>
      </w:pPr>
      <w:r>
        <w:rPr>
          <w:rFonts w:ascii="Arial" w:cs="Arial" w:eastAsia="Arial" w:hAnsi="Arial"/>
          <w:color w:val="1A1A1A"/>
          <w:sz w:val="22"/>
          <w:szCs w:val="22"/>
        </w:rPr>
        <w:t xml:space="preserve">{</w:t>
      </w:r>
    </w:p>
    <w:p>
      <w:pPr>
        <w:spacing w:after="120" w:before="80" w:line="320"/>
      </w:pPr>
      <w:r>
        <w:rPr>
          <w:rFonts w:ascii="Arial" w:cs="Arial" w:eastAsia="Arial" w:hAnsi="Arial"/>
          <w:color w:val="1A1A1A"/>
          <w:sz w:val="22"/>
          <w:szCs w:val="22"/>
        </w:rPr>
        <w:t xml:space="preserve">  "domains": {</w:t>
      </w:r>
    </w:p>
    <w:p>
      <w:pPr>
        <w:spacing w:after="120" w:before="80" w:line="320"/>
      </w:pPr>
      <w:r>
        <w:rPr>
          <w:rFonts w:ascii="Arial" w:cs="Arial" w:eastAsia="Arial" w:hAnsi="Arial"/>
          <w:color w:val="1A1A1A"/>
          <w:sz w:val="22"/>
          <w:szCs w:val="22"/>
        </w:rPr>
        <w:t xml:space="preserve">    "saas_unit_economics": {</w:t>
      </w:r>
    </w:p>
    <w:p>
      <w:pPr>
        <w:spacing w:after="120" w:before="80" w:line="320"/>
      </w:pPr>
      <w:r>
        <w:rPr>
          <w:rFonts w:ascii="Arial" w:cs="Arial" w:eastAsia="Arial" w:hAnsi="Arial"/>
          <w:color w:val="1A1A1A"/>
          <w:sz w:val="22"/>
          <w:szCs w:val="22"/>
        </w:rPr>
        <w:t xml:space="preserve">      "competence": "reliable",</w:t>
      </w:r>
    </w:p>
    <w:p>
      <w:pPr>
        <w:spacing w:after="120" w:before="80" w:line="320"/>
      </w:pPr>
      <w:r>
        <w:rPr>
          <w:rFonts w:ascii="Arial" w:cs="Arial" w:eastAsia="Arial" w:hAnsi="Arial"/>
          <w:color w:val="1A1A1A"/>
          <w:sz w:val="22"/>
          <w:szCs w:val="22"/>
        </w:rPr>
        <w:t xml:space="preserve">      "languages": { "en": 0.92, "ta": 0.85, "hi": 0.83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"fundraising_strategy_seed_to_a": {</w:t>
      </w:r>
    </w:p>
    <w:p>
      <w:pPr>
        <w:spacing w:after="120" w:before="80" w:line="320"/>
      </w:pPr>
      <w:r>
        <w:rPr>
          <w:rFonts w:ascii="Arial" w:cs="Arial" w:eastAsia="Arial" w:hAnsi="Arial"/>
          <w:color w:val="1A1A1A"/>
          <w:sz w:val="22"/>
          <w:szCs w:val="22"/>
        </w:rPr>
        <w:t xml:space="preserve">      "competence": "reliable",</w:t>
      </w:r>
    </w:p>
    <w:p>
      <w:pPr>
        <w:spacing w:after="120" w:before="80" w:line="320"/>
      </w:pPr>
      <w:r>
        <w:rPr>
          <w:rFonts w:ascii="Arial" w:cs="Arial" w:eastAsia="Arial" w:hAnsi="Arial"/>
          <w:color w:val="1A1A1A"/>
          <w:sz w:val="22"/>
          <w:szCs w:val="22"/>
        </w:rPr>
        <w:t xml:space="preserve">      "languages": { "en": 0.90, "ta": 0.78, "hi": 0.78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"international_tax_structuring": {</w:t>
      </w:r>
    </w:p>
    <w:p>
      <w:pPr>
        <w:spacing w:after="120" w:before="80" w:line="320"/>
      </w:pPr>
      <w:r>
        <w:rPr>
          <w:rFonts w:ascii="Arial" w:cs="Arial" w:eastAsia="Arial" w:hAnsi="Arial"/>
          <w:color w:val="1A1A1A"/>
          <w:sz w:val="22"/>
          <w:szCs w:val="22"/>
        </w:rPr>
        <w:t xml:space="preserve">      "competence": "partial",</w:t>
      </w:r>
    </w:p>
    <w:p>
      <w:pPr>
        <w:spacing w:after="120" w:before="80" w:line="320"/>
      </w:pPr>
      <w:r>
        <w:rPr>
          <w:rFonts w:ascii="Arial" w:cs="Arial" w:eastAsia="Arial" w:hAnsi="Arial"/>
          <w:color w:val="1A1A1A"/>
          <w:sz w:val="22"/>
          <w:szCs w:val="22"/>
        </w:rPr>
        <w:t xml:space="preserve">      "limitations": "General principles only; jurisdiction-specific advice should go to a Tax Specialist agent or human expert.",</w:t>
      </w:r>
    </w:p>
    <w:p>
      <w:pPr>
        <w:spacing w:after="120" w:before="80" w:line="320"/>
      </w:pPr>
      <w:r>
        <w:rPr>
          <w:rFonts w:ascii="Arial" w:cs="Arial" w:eastAsia="Arial" w:hAnsi="Arial"/>
          <w:color w:val="1A1A1A"/>
          <w:sz w:val="22"/>
          <w:szCs w:val="22"/>
        </w:rPr>
        <w:t xml:space="preserve">      "languages": { "en": 0.65, "ta": 0.55, "hi": 0.55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"securities_law_compliance": {</w:t>
      </w:r>
    </w:p>
    <w:p>
      <w:pPr>
        <w:spacing w:after="120" w:before="80" w:line="320"/>
      </w:pPr>
      <w:r>
        <w:rPr>
          <w:rFonts w:ascii="Arial" w:cs="Arial" w:eastAsia="Arial" w:hAnsi="Arial"/>
          <w:color w:val="1A1A1A"/>
          <w:sz w:val="22"/>
          <w:szCs w:val="22"/>
        </w:rPr>
        <w:t xml:space="preserve">      "competence": "outside",</w:t>
      </w:r>
    </w:p>
    <w:p>
      <w:pPr>
        <w:spacing w:after="120" w:before="80" w:line="320"/>
      </w:pPr>
      <w:r>
        <w:rPr>
          <w:rFonts w:ascii="Arial" w:cs="Arial" w:eastAsia="Arial" w:hAnsi="Arial"/>
          <w:color w:val="1A1A1A"/>
          <w:sz w:val="22"/>
          <w:szCs w:val="22"/>
        </w:rPr>
        <w:t xml:space="preserve">      "redirect_to": "ip_legal_specialist"</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w:t>
      </w:r>
    </w:p>
    <w:p>
      <w:pPr>
        <w:pStyle w:val="Heading3"/>
        <w:spacing w:after="100" w:before="280"/>
      </w:pPr>
      <w:r>
        <w:rPr>
          <w:rFonts w:ascii="Arial" w:cs="Arial" w:eastAsia="Arial" w:hAnsi="Arial"/>
          <w:b/>
          <w:bCs/>
          <w:color w:val="1A1A1A"/>
          <w:sz w:val="23"/>
          <w:szCs w:val="23"/>
        </w:rPr>
        <w:t xml:space="preserve">6.3.2 Authored vs measured competence</w:t>
      </w:r>
    </w:p>
    <w:p>
      <w:pPr>
        <w:spacing w:after="120" w:before="80" w:line="320"/>
      </w:pPr>
      <w:r>
        <w:rPr>
          <w:rFonts w:ascii="Arial" w:cs="Arial" w:eastAsia="Arial" w:hAnsi="Arial"/>
          <w:color w:val="1A1A1A"/>
          <w:sz w:val="22"/>
          <w:szCs w:val="22"/>
        </w:rPr>
        <w:t xml:space="preserve">Competence is partly authored at agent creation and partly empirically derived. The Performance Service computes measured competence from accumulated outcome data, contribution accuracy, and override patterns. Authored and measured competence should converge; large gaps trigger a review.</w:t>
      </w:r>
    </w:p>
    <w:p>
      <w:pPr>
        <w:spacing w:after="120" w:before="80" w:line="320"/>
      </w:pPr>
      <w:r>
        <w:rPr>
          <w:rFonts w:ascii="Arial" w:cs="Arial" w:eastAsia="Arial" w:hAnsi="Arial"/>
          <w:color w:val="1A1A1A"/>
          <w:sz w:val="22"/>
          <w:szCs w:val="22"/>
        </w:rPr>
        <w:t xml:space="preserve">Specifically: a gap of more than 0.15 between authored and measured competence in either direction is flagged. Authored higher than measured means the agent overstates its capability — a quality issue. Measured higher than authored means the agent is underutilising its capability — a calibration issue, possibly making the agent too conservative.</w:t>
      </w:r>
    </w:p>
    <w:p>
      <w:pPr>
        <w:pStyle w:val="Heading2"/>
        <w:spacing w:after="140" w:before="360"/>
      </w:pPr>
      <w:r>
        <w:rPr>
          <w:rFonts w:ascii="Arial" w:cs="Arial" w:eastAsia="Arial" w:hAnsi="Arial"/>
          <w:b/>
          <w:bCs/>
          <w:color w:val="1A1A1A"/>
          <w:sz w:val="28"/>
          <w:szCs w:val="28"/>
        </w:rPr>
        <w:t xml:space="preserve">6.4 Calibrated unknowns and gap-filling</w:t>
      </w:r>
    </w:p>
    <w:p>
      <w:pPr>
        <w:spacing w:after="120" w:before="80" w:line="320"/>
      </w:pPr>
      <w:r>
        <w:rPr>
          <w:rFonts w:ascii="Arial" w:cs="Arial" w:eastAsia="Arial" w:hAnsi="Arial"/>
          <w:color w:val="1A1A1A"/>
          <w:sz w:val="22"/>
          <w:szCs w:val="22"/>
        </w:rPr>
        <w:t xml:space="preserve">When a controller observes that the current question falls outside its competence, it does not fabricate. It acknowledges the gap explicitly and the platform searches for a qualified replacement.</w:t>
      </w:r>
    </w:p>
    <w:p>
      <w:pPr>
        <w:pStyle w:val="Heading3"/>
        <w:spacing w:after="100" w:before="280"/>
      </w:pPr>
      <w:r>
        <w:rPr>
          <w:rFonts w:ascii="Arial" w:cs="Arial" w:eastAsia="Arial" w:hAnsi="Arial"/>
          <w:b/>
          <w:bCs/>
          <w:color w:val="1A1A1A"/>
          <w:sz w:val="23"/>
          <w:szCs w:val="23"/>
        </w:rPr>
        <w:t xml:space="preserve">6.4.1 Gap detection</w:t>
      </w:r>
    </w:p>
    <w:p>
      <w:pPr>
        <w:spacing w:after="120" w:before="80" w:line="320"/>
      </w:pPr>
      <w:r>
        <w:rPr>
          <w:rFonts w:ascii="Arial" w:cs="Arial" w:eastAsia="Arial" w:hAnsi="Arial"/>
          <w:color w:val="1A1A1A"/>
          <w:sz w:val="22"/>
          <w:szCs w:val="22"/>
        </w:rPr>
        <w:t xml:space="preserve">Gap detection runs in the controller’s evaluate-relevance step. The current topic is mapped to the agent’s competence domains. If the topic falls in an "outside" domain, or in a "partial" domain where the partial competence does not cover the specific question, a gap event is emitted.</w:t>
      </w:r>
    </w:p>
    <w:p>
      <w:pPr>
        <w:pStyle w:val="Heading3"/>
        <w:spacing w:after="100" w:before="280"/>
      </w:pPr>
      <w:r>
        <w:rPr>
          <w:rFonts w:ascii="Arial" w:cs="Arial" w:eastAsia="Arial" w:hAnsi="Arial"/>
          <w:b/>
          <w:bCs/>
          <w:color w:val="1A1A1A"/>
          <w:sz w:val="23"/>
          <w:szCs w:val="23"/>
        </w:rPr>
        <w:t xml:space="preserve">6.4.2 Three-tier specialist search</w:t>
      </w:r>
    </w:p>
    <w:p>
      <w:pPr>
        <w:spacing w:after="120" w:before="80" w:line="320"/>
      </w:pPr>
      <w:r>
        <w:rPr>
          <w:rFonts w:ascii="Arial" w:cs="Arial" w:eastAsia="Arial" w:hAnsi="Arial"/>
          <w:color w:val="1A1A1A"/>
          <w:sz w:val="22"/>
          <w:szCs w:val="22"/>
        </w:rPr>
        <w:t xml:space="preserve">Per the Platform Specification, the platform searches three tiers in order:</w:t>
      </w:r>
    </w:p>
    <w:p>
      <w:pPr>
        <w:spacing w:after="120" w:before="80" w:line="320"/>
      </w:pPr>
      <w:r>
        <w:rPr>
          <w:rFonts w:ascii="Arial" w:cs="Arial" w:eastAsia="Arial" w:hAnsi="Arial"/>
          <w:color w:val="1A1A1A"/>
          <w:sz w:val="22"/>
          <w:szCs w:val="22"/>
        </w:rPr>
        <w:t xml:space="preserve">Search results are presented as recommendations, not auto-substitutions. The agent acknowledges the gap to the founder ("This is outside my reliable competence; I can recommend a specialist") and surfaces the matches. The founder chooses whether to engage.</w:t>
      </w:r>
    </w:p>
    <w:p>
      <w:pPr>
        <w:pStyle w:val="Heading3"/>
        <w:spacing w:after="100" w:before="280"/>
      </w:pPr>
      <w:r>
        <w:rPr>
          <w:rFonts w:ascii="Arial" w:cs="Arial" w:eastAsia="Arial" w:hAnsi="Arial"/>
          <w:b/>
          <w:bCs/>
          <w:color w:val="1A1A1A"/>
          <w:sz w:val="23"/>
          <w:szCs w:val="23"/>
        </w:rPr>
        <w:t xml:space="preserve">6.4.3 Lazy and perverse deferral detection</w:t>
      </w:r>
    </w:p>
    <w:p>
      <w:pPr>
        <w:spacing w:after="120" w:before="80" w:line="320"/>
      </w:pPr>
      <w:r>
        <w:rPr>
          <w:rFonts w:ascii="Arial" w:cs="Arial" w:eastAsia="Arial" w:hAnsi="Arial"/>
          <w:color w:val="1A1A1A"/>
          <w:sz w:val="22"/>
          <w:szCs w:val="22"/>
        </w:rPr>
        <w:t xml:space="preserve">Deferral can be misused: an agent might acknowledge a gap to avoid the work of a hard answer it could actually give, or to nudge the founder toward a paid marketplace specialist. Both are quality issues. The Performance Service measures deferral patterns:</w:t>
      </w:r>
    </w:p>
    <w:p>
      <w:pPr>
        <w:spacing w:after="120" w:before="80" w:line="320"/>
      </w:pPr>
      <w:r>
        <w:rPr>
          <w:rFonts w:ascii="Arial" w:cs="Arial" w:eastAsia="Arial" w:hAnsi="Arial"/>
          <w:color w:val="1A1A1A"/>
          <w:sz w:val="22"/>
          <w:szCs w:val="22"/>
        </w:rPr>
        <w:t xml:space="preserve">Lazy deferral: the agent acknowledges a gap when its measured competence is actually high. Detected by comparing deferral events against the measured competence model. Triggers prompt review.</w:t>
      </w:r>
    </w:p>
    <w:p>
      <w:pPr>
        <w:spacing w:after="120" w:before="80" w:line="320"/>
      </w:pPr>
      <w:r>
        <w:rPr>
          <w:rFonts w:ascii="Arial" w:cs="Arial" w:eastAsia="Arial" w:hAnsi="Arial"/>
          <w:color w:val="1A1A1A"/>
          <w:sz w:val="22"/>
          <w:szCs w:val="22"/>
        </w:rPr>
        <w:t xml:space="preserve">Perverse deferral: the agent’s deferral pattern correlates with marketplace transactions in a way that suggests bias toward booking experts. The Performance Service surfaces this aggregate pattern; the engineering-revenue insulation prevents the prompt-tuning team from acting on it directly. The pattern is flagged for the AI Quality Lead’s review.</w:t>
      </w:r>
    </w:p>
    <w:p>
      <w:pPr>
        <w:pStyle w:val="Heading2"/>
        <w:spacing w:after="140" w:before="360"/>
      </w:pPr>
      <w:r>
        <w:rPr>
          <w:rFonts w:ascii="Arial" w:cs="Arial" w:eastAsia="Arial" w:hAnsi="Arial"/>
          <w:b/>
          <w:bCs/>
          <w:color w:val="1A1A1A"/>
          <w:sz w:val="28"/>
          <w:szCs w:val="28"/>
        </w:rPr>
        <w:t xml:space="preserve">6.5 The conviction system</w:t>
      </w:r>
    </w:p>
    <w:p>
      <w:pPr>
        <w:spacing w:after="120" w:before="80" w:line="320"/>
      </w:pPr>
      <w:r>
        <w:rPr>
          <w:rFonts w:ascii="Arial" w:cs="Arial" w:eastAsia="Arial" w:hAnsi="Arial"/>
          <w:color w:val="1A1A1A"/>
          <w:sz w:val="22"/>
          <w:szCs w:val="22"/>
        </w:rPr>
        <w:t xml:space="preserve">Per the resolution of Concern 14, the conviction system ships with conservative starting calibration that errs toward responsiveness. As Performance Layer data accumulates, agents earn higher conviction calibration based on measured outcome quality.</w:t>
      </w:r>
    </w:p>
    <w:p>
      <w:pPr>
        <w:pStyle w:val="Heading3"/>
        <w:spacing w:after="100" w:before="280"/>
      </w:pPr>
      <w:r>
        <w:rPr>
          <w:rFonts w:ascii="Arial" w:cs="Arial" w:eastAsia="Arial" w:hAnsi="Arial"/>
          <w:b/>
          <w:bCs/>
          <w:color w:val="1A1A1A"/>
          <w:sz w:val="23"/>
          <w:szCs w:val="23"/>
        </w:rPr>
        <w:t xml:space="preserve">6.5.1 Four conviction bands</w:t>
      </w:r>
    </w:p>
    <w:p>
      <w:pPr>
        <w:pStyle w:val="Heading3"/>
        <w:spacing w:after="100" w:before="280"/>
      </w:pPr>
      <w:r>
        <w:rPr>
          <w:rFonts w:ascii="Arial" w:cs="Arial" w:eastAsia="Arial" w:hAnsi="Arial"/>
          <w:b/>
          <w:bCs/>
          <w:color w:val="1A1A1A"/>
          <w:sz w:val="23"/>
          <w:szCs w:val="23"/>
        </w:rPr>
        <w:t xml:space="preserve">6.5.2 Pushback handling</w:t>
      </w:r>
    </w:p>
    <w:p>
      <w:pPr>
        <w:spacing w:after="120" w:before="80" w:line="320"/>
      </w:pPr>
      <w:r>
        <w:rPr>
          <w:rFonts w:ascii="Arial" w:cs="Arial" w:eastAsia="Arial" w:hAnsi="Arial"/>
          <w:color w:val="1A1A1A"/>
          <w:sz w:val="22"/>
          <w:szCs w:val="22"/>
        </w:rPr>
        <w:t xml:space="preserve">When the founder pushes back, the controller distinguishes new information from disagreement:</w:t>
      </w:r>
    </w:p>
    <w:p>
      <w:pPr>
        <w:spacing w:after="120" w:before="80" w:line="320"/>
      </w:pPr>
      <w:r>
        <w:rPr>
          <w:rFonts w:ascii="Arial" w:cs="Arial" w:eastAsia="Arial" w:hAnsi="Arial"/>
          <w:color w:val="1A1A1A"/>
          <w:sz w:val="22"/>
          <w:szCs w:val="22"/>
        </w:rPr>
        <w:t xml:space="preserve">Parse the pushback: extract claims, evidence references, sentiment.</w:t>
      </w:r>
    </w:p>
    <w:p>
      <w:pPr>
        <w:spacing w:after="120" w:before="80" w:line="320"/>
      </w:pPr>
      <w:r>
        <w:rPr>
          <w:rFonts w:ascii="Arial" w:cs="Arial" w:eastAsia="Arial" w:hAnsi="Arial"/>
          <w:color w:val="1A1A1A"/>
          <w:sz w:val="22"/>
          <w:szCs w:val="22"/>
        </w:rPr>
        <w:t xml:space="preserve">Compare against the contribution’s evidence: does the pushback introduce new information not previously available, or does it contradict the existing evidence?</w:t>
      </w:r>
    </w:p>
    <w:p>
      <w:pPr>
        <w:spacing w:after="120" w:before="80" w:line="320"/>
      </w:pPr>
      <w:r>
        <w:rPr>
          <w:rFonts w:ascii="Arial" w:cs="Arial" w:eastAsia="Arial" w:hAnsi="Arial"/>
          <w:color w:val="1A1A1A"/>
          <w:sz w:val="22"/>
          <w:szCs w:val="22"/>
        </w:rPr>
        <w:t xml:space="preserve">If new information: revise the contribution. The conviction band may shift. Note the revision rationale.</w:t>
      </w:r>
    </w:p>
    <w:p>
      <w:pPr>
        <w:spacing w:after="120" w:before="80" w:line="320"/>
      </w:pPr>
      <w:r>
        <w:rPr>
          <w:rFonts w:ascii="Arial" w:cs="Arial" w:eastAsia="Arial" w:hAnsi="Arial"/>
          <w:color w:val="1A1A1A"/>
          <w:sz w:val="22"/>
          <w:szCs w:val="22"/>
        </w:rPr>
        <w:t xml:space="preserve">If disagreement without new information: surface the specific evidence the contribution rests on. State the position. Hold unless the founder explicitly overrules.</w:t>
      </w:r>
    </w:p>
    <w:p>
      <w:pPr>
        <w:spacing w:after="120" w:before="80" w:line="320"/>
      </w:pPr>
      <w:r>
        <w:rPr>
          <w:rFonts w:ascii="Arial" w:cs="Arial" w:eastAsia="Arial" w:hAnsi="Arial"/>
          <w:color w:val="1A1A1A"/>
          <w:sz w:val="22"/>
          <w:szCs w:val="22"/>
        </w:rPr>
        <w:t xml:space="preserve">On explicit overrule: record the override as a ledger entry with the original recommendation, the supporting evidence, the override reason, and the founder’s acknowledgement timestamp. The position is preserved in the ledger as overruled, not abandoned.</w:t>
      </w:r>
    </w:p>
    <w:p>
      <w:pPr>
        <w:pStyle w:val="Heading3"/>
        <w:spacing w:after="100" w:before="280"/>
      </w:pPr>
      <w:r>
        <w:rPr>
          <w:rFonts w:ascii="Arial" w:cs="Arial" w:eastAsia="Arial" w:hAnsi="Arial"/>
          <w:b/>
          <w:bCs/>
          <w:color w:val="1A1A1A"/>
          <w:sz w:val="23"/>
          <w:szCs w:val="23"/>
        </w:rPr>
        <w:t xml:space="preserve">6.5.3 High-stakes acknowledgement</w:t>
      </w:r>
    </w:p>
    <w:p>
      <w:pPr>
        <w:spacing w:after="120" w:before="80" w:line="320"/>
      </w:pPr>
      <w:r>
        <w:rPr>
          <w:rFonts w:ascii="Arial" w:cs="Arial" w:eastAsia="Arial" w:hAnsi="Arial"/>
          <w:color w:val="1A1A1A"/>
          <w:sz w:val="22"/>
          <w:szCs w:val="22"/>
        </w:rPr>
        <w:t xml:space="preserve">For a defined set of domains — legal compliance, regulatory filings, financial irregularities, contractual obligations, securities law, tax filings — the conviction system requires explicit acknowledgement rather than passive override.</w:t>
      </w:r>
    </w:p>
    <w:p>
      <w:pPr>
        <w:spacing w:after="120" w:before="80" w:line="320"/>
      </w:pPr>
      <w:r>
        <w:rPr>
          <w:rFonts w:ascii="Arial" w:cs="Arial" w:eastAsia="Arial" w:hAnsi="Arial"/>
          <w:color w:val="1A1A1A"/>
          <w:sz w:val="22"/>
          <w:szCs w:val="22"/>
        </w:rPr>
        <w:t xml:space="preserve">The pattern: when an agent in one of these domains contributes a "strongly supported" or "decisively supported" position, and the founder appears to disregard or override, the agent does not silently capitulate. The agent surfaces a structured warning: "I want to flag that the recommendation I just gave is in [domain]. Overriding this carries [specific risk]. Please confirm you want to proceed against this advice." The founder’s confirmation is recorded as a high-stakes acknowledgement event.</w:t>
      </w:r>
    </w:p>
    <w:p>
      <w:pPr>
        <w:pStyle w:val="Heading3"/>
        <w:spacing w:after="100" w:before="280"/>
      </w:pPr>
      <w:r>
        <w:rPr>
          <w:rFonts w:ascii="Arial" w:cs="Arial" w:eastAsia="Arial" w:hAnsi="Arial"/>
          <w:b/>
          <w:bCs/>
          <w:color w:val="1A1A1A"/>
          <w:sz w:val="23"/>
          <w:szCs w:val="23"/>
        </w:rPr>
        <w:t xml:space="preserve">6.5.4 Conservative starting calibration</w:t>
      </w:r>
    </w:p>
    <w:p>
      <w:pPr>
        <w:spacing w:after="120" w:before="80" w:line="320"/>
      </w:pPr>
      <w:r>
        <w:rPr>
          <w:rFonts w:ascii="Arial" w:cs="Arial" w:eastAsia="Arial" w:hAnsi="Arial"/>
          <w:color w:val="1A1A1A"/>
          <w:sz w:val="22"/>
          <w:szCs w:val="22"/>
        </w:rPr>
        <w:t xml:space="preserve">Per the Concern 14 resolution, all conviction bands ship with responsive defaults. Specifically:</w:t>
      </w:r>
    </w:p>
    <w:p>
      <w:pPr>
        <w:spacing w:after="120" w:before="80" w:line="320"/>
      </w:pPr>
      <w:r>
        <w:rPr>
          <w:rFonts w:ascii="Arial" w:cs="Arial" w:eastAsia="Arial" w:hAnsi="Arial"/>
          <w:color w:val="1A1A1A"/>
          <w:sz w:val="22"/>
          <w:szCs w:val="22"/>
        </w:rPr>
        <w:t xml:space="preserve">Weakly and moderately supported positions: shift readily on founder pushback (low resistance threshold).</w:t>
      </w:r>
    </w:p>
    <w:p>
      <w:pPr>
        <w:spacing w:after="120" w:before="80" w:line="320"/>
      </w:pPr>
      <w:r>
        <w:rPr>
          <w:rFonts w:ascii="Arial" w:cs="Arial" w:eastAsia="Arial" w:hAnsi="Arial"/>
          <w:color w:val="1A1A1A"/>
          <w:sz w:val="22"/>
          <w:szCs w:val="22"/>
        </w:rPr>
        <w:t xml:space="preserve">Strongly supported positions: surface evidence on pushback but shift on plausible new information; require specific factual error to maintain against pure disagreement.</w:t>
      </w:r>
    </w:p>
    <w:p>
      <w:pPr>
        <w:spacing w:after="120" w:before="80" w:line="320"/>
      </w:pPr>
      <w:r>
        <w:rPr>
          <w:rFonts w:ascii="Arial" w:cs="Arial" w:eastAsia="Arial" w:hAnsi="Arial"/>
          <w:color w:val="1A1A1A"/>
          <w:sz w:val="22"/>
          <w:szCs w:val="22"/>
        </w:rPr>
        <w:t xml:space="preserve">Decisively supported positions: hold but with friendly framing; record overrides without escalation to high-stakes acknowledgement unless the domain warrants it.</w:t>
      </w:r>
    </w:p>
    <w:p>
      <w:pPr>
        <w:spacing w:after="120" w:before="80" w:line="320"/>
      </w:pPr>
      <w:r>
        <w:rPr>
          <w:rFonts w:ascii="Arial" w:cs="Arial" w:eastAsia="Arial" w:hAnsi="Arial"/>
          <w:color w:val="1A1A1A"/>
          <w:sz w:val="22"/>
          <w:szCs w:val="22"/>
        </w:rPr>
        <w:t xml:space="preserve">As the Performance Service accumulates outcome data per agent per domain, the calibration parameters tighten on positions that have been validated by outcomes. An agent that has been right 90% of the time in a domain holds that domain’s positions more firmly; an agent with mixed track record stays more responsive.</w:t>
      </w:r>
    </w:p>
    <w:p>
      <w:pPr>
        <w:pStyle w:val="Heading2"/>
        <w:spacing w:after="140" w:before="360"/>
      </w:pPr>
      <w:r>
        <w:rPr>
          <w:rFonts w:ascii="Arial" w:cs="Arial" w:eastAsia="Arial" w:hAnsi="Arial"/>
          <w:b/>
          <w:bCs/>
          <w:color w:val="1A1A1A"/>
          <w:sz w:val="28"/>
          <w:szCs w:val="28"/>
        </w:rPr>
        <w:t xml:space="preserve">6.6 The agent definition format</w:t>
      </w:r>
    </w:p>
    <w:p>
      <w:pPr>
        <w:spacing w:after="120" w:before="80" w:line="320"/>
      </w:pPr>
      <w:r>
        <w:rPr>
          <w:rFonts w:ascii="Arial" w:cs="Arial" w:eastAsia="Arial" w:hAnsi="Arial"/>
          <w:color w:val="1A1A1A"/>
          <w:sz w:val="22"/>
          <w:szCs w:val="22"/>
        </w:rPr>
        <w:t xml:space="preserve">Every agent on the platform — platform-built, third-party, syndicated — is described using a unified agent definition format. The format is the contract that makes agents interchangeable from the runtime’s perspective.</w:t>
      </w:r>
    </w:p>
    <w:p>
      <w:pPr>
        <w:pStyle w:val="Heading3"/>
        <w:spacing w:after="100" w:before="280"/>
      </w:pPr>
      <w:r>
        <w:rPr>
          <w:rFonts w:ascii="Arial" w:cs="Arial" w:eastAsia="Arial" w:hAnsi="Arial"/>
          <w:b/>
          <w:bCs/>
          <w:color w:val="1A1A1A"/>
          <w:sz w:val="23"/>
          <w:szCs w:val="23"/>
        </w:rPr>
        <w:t xml:space="preserve">6.6.1 Top-level structure</w:t>
      </w:r>
    </w:p>
    <w:p>
      <w:pPr>
        <w:spacing w:after="120" w:before="80" w:line="320"/>
      </w:pPr>
      <w:r>
        <w:rPr>
          <w:rFonts w:ascii="Arial" w:cs="Arial" w:eastAsia="Arial" w:hAnsi="Arial"/>
          <w:color w:val="1A1A1A"/>
          <w:sz w:val="22"/>
          <w:szCs w:val="22"/>
        </w:rPr>
        <w:t xml:space="preserve">{</w:t>
      </w:r>
    </w:p>
    <w:p>
      <w:pPr>
        <w:spacing w:after="120" w:before="80" w:line="320"/>
      </w:pPr>
      <w:r>
        <w:rPr>
          <w:rFonts w:ascii="Arial" w:cs="Arial" w:eastAsia="Arial" w:hAnsi="Arial"/>
          <w:color w:val="1A1A1A"/>
          <w:sz w:val="22"/>
          <w:szCs w:val="22"/>
        </w:rPr>
        <w:t xml:space="preserve">  "slug": "cfo",</w:t>
      </w:r>
    </w:p>
    <w:p>
      <w:pPr>
        <w:spacing w:after="120" w:before="80" w:line="320"/>
      </w:pPr>
      <w:r>
        <w:rPr>
          <w:rFonts w:ascii="Arial" w:cs="Arial" w:eastAsia="Arial" w:hAnsi="Arial"/>
          <w:color w:val="1A1A1A"/>
          <w:sz w:val="22"/>
          <w:szCs w:val="22"/>
        </w:rPr>
        <w:t xml:space="preserve">  "version": "2026.05.01",</w:t>
      </w:r>
    </w:p>
    <w:p>
      <w:pPr>
        <w:spacing w:after="120" w:before="80" w:line="320"/>
      </w:pPr>
      <w:r>
        <w:rPr>
          <w:rFonts w:ascii="Arial" w:cs="Arial" w:eastAsia="Arial" w:hAnsi="Arial"/>
          <w:color w:val="1A1A1A"/>
          <w:sz w:val="22"/>
          <w:szCs w:val="22"/>
        </w:rPr>
        <w:t xml:space="preserve">  "source": "platform",  // platform | marketplace | syndicated</w:t>
      </w:r>
    </w:p>
    <w:p>
      <w:pPr>
        <w:spacing w:after="120" w:before="80" w:line="320"/>
      </w:pPr>
      <w:r>
        <w:rPr>
          <w:rFonts w:ascii="Arial" w:cs="Arial" w:eastAsia="Arial" w:hAnsi="Arial"/>
          <w:color w:val="1A1A1A"/>
          <w:sz w:val="22"/>
          <w:szCs w:val="22"/>
        </w:rPr>
        <w:t xml:space="preserve">  "persona": {</w:t>
      </w:r>
    </w:p>
    <w:p>
      <w:pPr>
        <w:spacing w:after="120" w:before="80" w:line="320"/>
      </w:pPr>
      <w:r>
        <w:rPr>
          <w:rFonts w:ascii="Arial" w:cs="Arial" w:eastAsia="Arial" w:hAnsi="Arial"/>
          <w:color w:val="1A1A1A"/>
          <w:sz w:val="22"/>
          <w:szCs w:val="22"/>
        </w:rPr>
        <w:t xml:space="preserve">    "name_default": "CFO",</w:t>
      </w:r>
    </w:p>
    <w:p>
      <w:pPr>
        <w:spacing w:after="120" w:before="80" w:line="320"/>
      </w:pPr>
      <w:r>
        <w:rPr>
          <w:rFonts w:ascii="Arial" w:cs="Arial" w:eastAsia="Arial" w:hAnsi="Arial"/>
          <w:color w:val="1A1A1A"/>
          <w:sz w:val="22"/>
          <w:szCs w:val="22"/>
        </w:rPr>
        <w:t xml:space="preserve">    "role_mapping": "chief_financial_officer",</w:t>
      </w:r>
    </w:p>
    <w:p>
      <w:pPr>
        <w:spacing w:after="120" w:before="80" w:line="320"/>
      </w:pPr>
      <w:r>
        <w:rPr>
          <w:rFonts w:ascii="Arial" w:cs="Arial" w:eastAsia="Arial" w:hAnsi="Arial"/>
          <w:color w:val="1A1A1A"/>
          <w:sz w:val="22"/>
          <w:szCs w:val="22"/>
        </w:rPr>
        <w:t xml:space="preserve">    "voice_catalogue_default": { "en": "voice_a", "ta": "voice_b", "hi": "voice_c" }</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"languages_supported": ["en", "ta", "hi"],</w:t>
      </w:r>
    </w:p>
    <w:p>
      <w:pPr>
        <w:spacing w:after="120" w:before="80" w:line="320"/>
      </w:pPr>
      <w:r>
        <w:rPr>
          <w:rFonts w:ascii="Arial" w:cs="Arial" w:eastAsia="Arial" w:hAnsi="Arial"/>
          <w:color w:val="1A1A1A"/>
          <w:sz w:val="22"/>
          <w:szCs w:val="22"/>
        </w:rPr>
        <w:t xml:space="preserve">  "competence": { /* per Section 6.3 */ },</w:t>
      </w:r>
    </w:p>
    <w:p>
      <w:pPr>
        <w:spacing w:after="120" w:before="80" w:line="320"/>
      </w:pPr>
      <w:r>
        <w:rPr>
          <w:rFonts w:ascii="Arial" w:cs="Arial" w:eastAsia="Arial" w:hAnsi="Arial"/>
          <w:color w:val="1A1A1A"/>
          <w:sz w:val="22"/>
          <w:szCs w:val="22"/>
        </w:rPr>
        <w:t xml:space="preserve">  "prompt_templates": { /* per Section 6.6.2 */ },</w:t>
      </w:r>
    </w:p>
    <w:p>
      <w:pPr>
        <w:spacing w:after="120" w:before="80" w:line="320"/>
      </w:pPr>
      <w:r>
        <w:rPr>
          <w:rFonts w:ascii="Arial" w:cs="Arial" w:eastAsia="Arial" w:hAnsi="Arial"/>
          <w:color w:val="1A1A1A"/>
          <w:sz w:val="22"/>
          <w:szCs w:val="22"/>
        </w:rPr>
        <w:t xml:space="preserve">  "sub_agent_dispatch": { /* per Section 6.2.2 */ },</w:t>
      </w:r>
    </w:p>
    <w:p>
      <w:pPr>
        <w:spacing w:after="120" w:before="80" w:line="320"/>
      </w:pPr>
      <w:r>
        <w:rPr>
          <w:rFonts w:ascii="Arial" w:cs="Arial" w:eastAsia="Arial" w:hAnsi="Arial"/>
          <w:color w:val="1A1A1A"/>
          <w:sz w:val="22"/>
          <w:szCs w:val="22"/>
        </w:rPr>
        <w:t xml:space="preserve">  "trigger_calibration": { /* per Section 6.6.3 */ },</w:t>
      </w:r>
    </w:p>
    <w:p>
      <w:pPr>
        <w:spacing w:after="120" w:before="80" w:line="320"/>
      </w:pPr>
      <w:r>
        <w:rPr>
          <w:rFonts w:ascii="Arial" w:cs="Arial" w:eastAsia="Arial" w:hAnsi="Arial"/>
          <w:color w:val="1A1A1A"/>
          <w:sz w:val="22"/>
          <w:szCs w:val="22"/>
        </w:rPr>
        <w:t xml:space="preserve">  "conviction_calibration": { /* per Section 6.5.4 */ },</w:t>
      </w:r>
    </w:p>
    <w:p>
      <w:pPr>
        <w:spacing w:after="120" w:before="80" w:line="320"/>
      </w:pPr>
      <w:r>
        <w:rPr>
          <w:rFonts w:ascii="Arial" w:cs="Arial" w:eastAsia="Arial" w:hAnsi="Arial"/>
          <w:color w:val="1A1A1A"/>
          <w:sz w:val="22"/>
          <w:szCs w:val="22"/>
        </w:rPr>
        <w:t xml:space="preserve">  "knowledge_base_refs": ["financial_principles_v3", "saas_unit_economics_v2"],</w:t>
      </w:r>
    </w:p>
    <w:p>
      <w:pPr>
        <w:spacing w:after="120" w:before="80" w:line="320"/>
      </w:pPr>
      <w:r>
        <w:rPr>
          <w:rFonts w:ascii="Arial" w:cs="Arial" w:eastAsia="Arial" w:hAnsi="Arial"/>
          <w:color w:val="1A1A1A"/>
          <w:sz w:val="22"/>
          <w:szCs w:val="22"/>
        </w:rPr>
        <w:t xml:space="preserve">  "trust_tier": "anchor",  // community | verified | featured | anchor</w:t>
      </w:r>
    </w:p>
    <w:p>
      <w:pPr>
        <w:spacing w:after="120" w:before="80" w:line="320"/>
      </w:pPr>
      <w:r>
        <w:rPr>
          <w:rFonts w:ascii="Arial" w:cs="Arial" w:eastAsia="Arial" w:hAnsi="Arial"/>
          <w:color w:val="1A1A1A"/>
          <w:sz w:val="22"/>
          <w:szCs w:val="22"/>
        </w:rPr>
        <w:t xml:space="preserve">  "metadata": {</w:t>
      </w:r>
    </w:p>
    <w:p>
      <w:pPr>
        <w:spacing w:after="120" w:before="80" w:line="320"/>
      </w:pPr>
      <w:r>
        <w:rPr>
          <w:rFonts w:ascii="Arial" w:cs="Arial" w:eastAsia="Arial" w:hAnsi="Arial"/>
          <w:color w:val="1A1A1A"/>
          <w:sz w:val="22"/>
          <w:szCs w:val="22"/>
        </w:rPr>
        <w:t xml:space="preserve">    "author": "platform",</w:t>
      </w:r>
    </w:p>
    <w:p>
      <w:pPr>
        <w:spacing w:after="120" w:before="80" w:line="320"/>
      </w:pPr>
      <w:r>
        <w:rPr>
          <w:rFonts w:ascii="Arial" w:cs="Arial" w:eastAsia="Arial" w:hAnsi="Arial"/>
          <w:color w:val="1A1A1A"/>
          <w:sz w:val="22"/>
          <w:szCs w:val="22"/>
        </w:rPr>
        <w:t xml:space="preserve">    "certified_at": "2026-04-15",</w:t>
      </w:r>
    </w:p>
    <w:p>
      <w:pPr>
        <w:spacing w:after="120" w:before="80" w:line="320"/>
      </w:pPr>
      <w:r>
        <w:rPr>
          <w:rFonts w:ascii="Arial" w:cs="Arial" w:eastAsia="Arial" w:hAnsi="Arial"/>
          <w:color w:val="1A1A1A"/>
          <w:sz w:val="22"/>
          <w:szCs w:val="22"/>
        </w:rPr>
        <w:t xml:space="preserve">    "deprecated_at": null</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w:t>
      </w:r>
    </w:p>
    <w:p>
      <w:pPr>
        <w:pStyle w:val="Heading3"/>
        <w:spacing w:after="100" w:before="280"/>
      </w:pPr>
      <w:r>
        <w:rPr>
          <w:rFonts w:ascii="Arial" w:cs="Arial" w:eastAsia="Arial" w:hAnsi="Arial"/>
          <w:b/>
          <w:bCs/>
          <w:color w:val="1A1A1A"/>
          <w:sz w:val="23"/>
          <w:szCs w:val="23"/>
        </w:rPr>
        <w:t xml:space="preserve">6.6.2 Prompt templates</w:t>
      </w:r>
    </w:p>
    <w:p>
      <w:pPr>
        <w:spacing w:after="120" w:before="80" w:line="320"/>
      </w:pPr>
      <w:r>
        <w:rPr>
          <w:rFonts w:ascii="Arial" w:cs="Arial" w:eastAsia="Arial" w:hAnsi="Arial"/>
          <w:color w:val="1A1A1A"/>
          <w:sz w:val="22"/>
          <w:szCs w:val="22"/>
        </w:rPr>
        <w:t xml:space="preserve">Prompt templates are language-specific. Each language has its own native-quality prompt, not a translation of the English master. Templates use named slots filled from runtime context: brain context, transcript window, sub-agent results, conviction band.</w:t>
      </w:r>
    </w:p>
    <w:p>
      <w:pPr>
        <w:pStyle w:val="Heading3"/>
        <w:spacing w:after="100" w:before="280"/>
      </w:pPr>
      <w:r>
        <w:rPr>
          <w:rFonts w:ascii="Arial" w:cs="Arial" w:eastAsia="Arial" w:hAnsi="Arial"/>
          <w:b/>
          <w:bCs/>
          <w:color w:val="1A1A1A"/>
          <w:sz w:val="23"/>
          <w:szCs w:val="23"/>
        </w:rPr>
        <w:t xml:space="preserve">6.6.3 Trigger calibration</w:t>
      </w:r>
    </w:p>
    <w:p>
      <w:pPr>
        <w:spacing w:after="120" w:before="80" w:line="320"/>
      </w:pPr>
      <w:r>
        <w:rPr>
          <w:rFonts w:ascii="Arial" w:cs="Arial" w:eastAsia="Arial" w:hAnsi="Arial"/>
          <w:color w:val="1A1A1A"/>
          <w:sz w:val="22"/>
          <w:szCs w:val="22"/>
        </w:rPr>
        <w:t xml:space="preserve">Trigger calibration governs when the agent raises a hand. Parameters include: relevance threshold (how relevant must the topic be), uniqueness threshold (does the agent’s contribution add to what other agents have said), conviction floor (minimum conviction band for hand-raise), cooldown (minimum time between hand-raises in the same meeting), priority (when multiple agents qualify, which raises first).</w:t>
      </w:r>
    </w:p>
    <w:p>
      <w:pPr>
        <w:pStyle w:val="Heading3"/>
        <w:spacing w:after="100" w:before="280"/>
      </w:pPr>
      <w:r>
        <w:rPr>
          <w:rFonts w:ascii="Arial" w:cs="Arial" w:eastAsia="Arial" w:hAnsi="Arial"/>
          <w:b/>
          <w:bCs/>
          <w:color w:val="1A1A1A"/>
          <w:sz w:val="23"/>
          <w:szCs w:val="23"/>
        </w:rPr>
        <w:t xml:space="preserve">6.6.4 Knowledge base references</w:t>
      </w:r>
    </w:p>
    <w:p>
      <w:pPr>
        <w:spacing w:after="120" w:before="80" w:line="320"/>
      </w:pPr>
      <w:r>
        <w:rPr>
          <w:rFonts w:ascii="Arial" w:cs="Arial" w:eastAsia="Arial" w:hAnsi="Arial"/>
          <w:color w:val="1A1A1A"/>
          <w:sz w:val="22"/>
          <w:szCs w:val="22"/>
        </w:rPr>
        <w:t xml:space="preserve">Knowledge bases are reusable content modules: principles, frameworks, factual references that multiple agents draw on. The CFO and the Financial Analyst both reference financial_principles_v3. The CMO and the Brand specialist both reference brand_principles_v1. Knowledge bases are versioned independently of agent definitions; updates to a knowledge base propagate to every agent that references it.</w:t>
      </w:r>
    </w:p>
    <w:p>
      <w:pPr>
        <w:pStyle w:val="Heading2"/>
        <w:spacing w:after="140" w:before="360"/>
      </w:pPr>
      <w:r>
        <w:rPr>
          <w:rFonts w:ascii="Arial" w:cs="Arial" w:eastAsia="Arial" w:hAnsi="Arial"/>
          <w:b/>
          <w:bCs/>
          <w:color w:val="1A1A1A"/>
          <w:sz w:val="28"/>
          <w:szCs w:val="28"/>
        </w:rPr>
        <w:t xml:space="preserve">6.7 The agent submission and certification pipeline</w:t>
      </w:r>
    </w:p>
    <w:p>
      <w:pPr>
        <w:spacing w:after="120" w:before="80" w:line="320"/>
      </w:pPr>
      <w:r>
        <w:rPr>
          <w:rFonts w:ascii="Arial" w:cs="Arial" w:eastAsia="Arial" w:hAnsi="Arial"/>
          <w:color w:val="1A1A1A"/>
          <w:sz w:val="22"/>
          <w:szCs w:val="22"/>
        </w:rPr>
        <w:t xml:space="preserve">Every agent goes through the same multi-stage pipeline regardless of source. Platform-built agents, marketplace contributions, and syndicated imports all enter through the same gates.</w:t>
      </w:r>
    </w:p>
    <w:p>
      <w:pPr>
        <w:pStyle w:val="Heading3"/>
        <w:spacing w:after="100" w:before="280"/>
      </w:pPr>
      <w:r>
        <w:rPr>
          <w:rFonts w:ascii="Arial" w:cs="Arial" w:eastAsia="Arial" w:hAnsi="Arial"/>
          <w:b/>
          <w:bCs/>
          <w:color w:val="1A1A1A"/>
          <w:sz w:val="23"/>
          <w:szCs w:val="23"/>
        </w:rPr>
        <w:t xml:space="preserve">6.7.1 Stages</w:t>
      </w:r>
    </w:p>
    <w:p>
      <w:pPr>
        <w:spacing w:after="120" w:before="80" w:line="320"/>
      </w:pPr>
      <w:r>
        <w:rPr>
          <w:rFonts w:ascii="Arial" w:cs="Arial" w:eastAsia="Arial" w:hAnsi="Arial"/>
          <w:color w:val="1A1A1A"/>
          <w:sz w:val="22"/>
          <w:szCs w:val="22"/>
        </w:rPr>
        <w:t xml:space="preserve">Submission: the agent definition is uploaded with metadata. Format compliance is checked.</w:t>
      </w:r>
    </w:p>
    <w:p>
      <w:pPr>
        <w:spacing w:after="120" w:before="80" w:line="320"/>
      </w:pPr>
      <w:r>
        <w:rPr>
          <w:rFonts w:ascii="Arial" w:cs="Arial" w:eastAsia="Arial" w:hAnsi="Arial"/>
          <w:color w:val="1A1A1A"/>
          <w:sz w:val="22"/>
          <w:szCs w:val="22"/>
        </w:rPr>
        <w:t xml:space="preserve">Automated validation: schema validation, content policy checks, prompt safety scans, basic conflict checks against existing definitions.</w:t>
      </w:r>
    </w:p>
    <w:p>
      <w:pPr>
        <w:spacing w:after="120" w:before="80" w:line="320"/>
      </w:pPr>
      <w:r>
        <w:rPr>
          <w:rFonts w:ascii="Arial" w:cs="Arial" w:eastAsia="Arial" w:hAnsi="Arial"/>
          <w:color w:val="1A1A1A"/>
          <w:sz w:val="22"/>
          <w:szCs w:val="22"/>
        </w:rPr>
        <w:t xml:space="preserve">Automated evaluation: the agent runs the curated test set for its claimed domain and language. Results are scored against expected outputs. Pass thresholds are tier-dependent.</w:t>
      </w:r>
    </w:p>
    <w:p>
      <w:pPr>
        <w:spacing w:after="120" w:before="80" w:line="320"/>
      </w:pPr>
      <w:r>
        <w:rPr>
          <w:rFonts w:ascii="Arial" w:cs="Arial" w:eastAsia="Arial" w:hAnsi="Arial"/>
          <w:color w:val="1A1A1A"/>
          <w:sz w:val="22"/>
          <w:szCs w:val="22"/>
        </w:rPr>
        <w:t xml:space="preserve">Human review: required for Verified, Featured, and Anchor trust tiers. Skipped only for Community baseline tier. Reviewer is the AI Quality Lead or a delegated reviewer.</w:t>
      </w:r>
    </w:p>
    <w:p>
      <w:pPr>
        <w:spacing w:after="120" w:before="80" w:line="320"/>
      </w:pPr>
      <w:r>
        <w:rPr>
          <w:rFonts w:ascii="Arial" w:cs="Arial" w:eastAsia="Arial" w:hAnsi="Arial"/>
          <w:color w:val="1A1A1A"/>
          <w:sz w:val="22"/>
          <w:szCs w:val="22"/>
        </w:rPr>
        <w:t xml:space="preserve">Canary deployment: approved agents are released to a small slice of sessions first. Quality signals are monitored. Issues trigger rollback.</w:t>
      </w:r>
    </w:p>
    <w:p>
      <w:pPr>
        <w:spacing w:after="120" w:before="80" w:line="320"/>
      </w:pPr>
      <w:r>
        <w:rPr>
          <w:rFonts w:ascii="Arial" w:cs="Arial" w:eastAsia="Arial" w:hAnsi="Arial"/>
          <w:color w:val="1A1A1A"/>
          <w:sz w:val="22"/>
          <w:szCs w:val="22"/>
        </w:rPr>
        <w:t xml:space="preserve">Full deployment: on canary success, the agent is available across the platform.</w:t>
      </w:r>
    </w:p>
    <w:p>
      <w:pPr>
        <w:spacing w:after="120" w:before="80" w:line="320"/>
      </w:pPr>
      <w:r>
        <w:rPr>
          <w:rFonts w:ascii="Arial" w:cs="Arial" w:eastAsia="Arial" w:hAnsi="Arial"/>
          <w:color w:val="1A1A1A"/>
          <w:sz w:val="22"/>
          <w:szCs w:val="22"/>
        </w:rPr>
        <w:t xml:space="preserve">Continuous monitoring: post-deployment, every contribution accumulates evaluation signals via the Performance Layer. Trust tier can move up or down based on accumulated data.</w:t>
      </w:r>
    </w:p>
    <w:p>
      <w:pPr>
        <w:pStyle w:val="Heading3"/>
        <w:spacing w:after="100" w:before="280"/>
      </w:pPr>
      <w:r>
        <w:rPr>
          <w:rFonts w:ascii="Arial" w:cs="Arial" w:eastAsia="Arial" w:hAnsi="Arial"/>
          <w:b/>
          <w:bCs/>
          <w:color w:val="1A1A1A"/>
          <w:sz w:val="23"/>
          <w:szCs w:val="23"/>
        </w:rPr>
        <w:t xml:space="preserve">6.7.2 Trust tiers</w:t>
      </w:r>
    </w:p>
    <w:p>
      <w:pPr>
        <w:pStyle w:val="Heading2"/>
        <w:spacing w:after="140" w:before="360"/>
      </w:pPr>
      <w:r>
        <w:rPr>
          <w:rFonts w:ascii="Arial" w:cs="Arial" w:eastAsia="Arial" w:hAnsi="Arial"/>
          <w:b/>
          <w:bCs/>
          <w:color w:val="1A1A1A"/>
          <w:sz w:val="28"/>
          <w:szCs w:val="28"/>
        </w:rPr>
        <w:t xml:space="preserve">6.8 Persona versioning runtime semantics</w:t>
      </w:r>
    </w:p>
    <w:p>
      <w:pPr>
        <w:spacing w:after="120" w:before="80" w:line="320"/>
      </w:pPr>
      <w:r>
        <w:rPr>
          <w:rFonts w:ascii="Arial" w:cs="Arial" w:eastAsia="Arial" w:hAnsi="Arial"/>
          <w:color w:val="1A1A1A"/>
          <w:sz w:val="22"/>
          <w:szCs w:val="22"/>
        </w:rPr>
        <w:t xml:space="preserve">Per the Platform Specification, persona versioning is a hard requirement and is enforced in the data layer (Section 4.7). The runtime semantics:</w:t>
      </w:r>
    </w:p>
    <w:p>
      <w:pPr>
        <w:spacing w:after="120" w:before="80" w:line="320"/>
      </w:pPr>
      <w:r>
        <w:rPr>
          <w:rFonts w:ascii="Arial" w:cs="Arial" w:eastAsia="Arial" w:hAnsi="Arial"/>
          <w:color w:val="1A1A1A"/>
          <w:sz w:val="22"/>
          <w:szCs w:val="22"/>
        </w:rPr>
        <w:t xml:space="preserve">At meeting start, the controller loads the agent definition pinned to the version specified for the agent_instance.</w:t>
      </w:r>
    </w:p>
    <w:p>
      <w:pPr>
        <w:spacing w:after="120" w:before="80" w:line="320"/>
      </w:pPr>
      <w:r>
        <w:rPr>
          <w:rFonts w:ascii="Arial" w:cs="Arial" w:eastAsia="Arial" w:hAnsi="Arial"/>
          <w:color w:val="1A1A1A"/>
          <w:sz w:val="22"/>
          <w:szCs w:val="22"/>
        </w:rPr>
        <w:t xml:space="preserve">Mid-meeting, the version does not change. A new version released during a meeting takes effect for new meetings, not in-flight ones.</w:t>
      </w:r>
    </w:p>
    <w:p>
      <w:pPr>
        <w:spacing w:after="120" w:before="80" w:line="320"/>
      </w:pPr>
      <w:r>
        <w:rPr>
          <w:rFonts w:ascii="Arial" w:cs="Arial" w:eastAsia="Arial" w:hAnsi="Arial"/>
          <w:color w:val="1A1A1A"/>
          <w:sz w:val="22"/>
          <w:szCs w:val="22"/>
        </w:rPr>
        <w:t xml:space="preserve">Performance signals are attributed to the specific version. The Performance Service’s aggregates partition by (agent_definition_id, version).</w:t>
      </w:r>
    </w:p>
    <w:p>
      <w:pPr>
        <w:spacing w:after="120" w:before="80" w:line="320"/>
      </w:pPr>
      <w:r>
        <w:rPr>
          <w:rFonts w:ascii="Arial" w:cs="Arial" w:eastAsia="Arial" w:hAnsi="Arial"/>
          <w:color w:val="1A1A1A"/>
          <w:sz w:val="22"/>
          <w:szCs w:val="22"/>
        </w:rPr>
        <w:t xml:space="preserve">Major persona changes are surfaced to the founder. A change to the CFO’s prompt template, sub-agent dispatch policy, or competence model produces a notification: "Your CFO has been updated. Recent changes: [diff summary]." The founder can opt to remain on the prior version for a transition window.</w:t>
      </w:r>
    </w:p>
    <w:p>
      <w:pPr>
        <w:pStyle w:val="Heading2"/>
        <w:spacing w:after="140" w:before="360"/>
      </w:pPr>
      <w:r>
        <w:rPr>
          <w:rFonts w:ascii="Arial" w:cs="Arial" w:eastAsia="Arial" w:hAnsi="Arial"/>
          <w:b/>
          <w:bCs/>
          <w:color w:val="1A1A1A"/>
          <w:sz w:val="28"/>
          <w:szCs w:val="28"/>
        </w:rPr>
        <w:t xml:space="preserve">6.9 What this layer locks</w:t>
      </w:r>
    </w:p>
    <w:p>
      <w:pPr>
        <w:spacing w:after="120" w:before="80" w:line="320"/>
      </w:pPr>
      <w:r>
        <w:rPr>
          <w:rFonts w:ascii="Arial" w:cs="Arial" w:eastAsia="Arial" w:hAnsi="Arial"/>
          <w:color w:val="1A1A1A"/>
          <w:sz w:val="22"/>
          <w:szCs w:val="22"/>
        </w:rPr>
        <w:t xml:space="preserve">Agents are controllers with state, sub-agent dispatch, and a continuous execution loop</w:t>
      </w:r>
    </w:p>
    <w:p>
      <w:pPr>
        <w:spacing w:after="120" w:before="80" w:line="320"/>
      </w:pPr>
      <w:r>
        <w:rPr>
          <w:rFonts w:ascii="Arial" w:cs="Arial" w:eastAsia="Arial" w:hAnsi="Arial"/>
          <w:color w:val="1A1A1A"/>
          <w:sz w:val="22"/>
          <w:szCs w:val="22"/>
        </w:rPr>
        <w:t xml:space="preserve">Sub-agents are task-scoped tool calls; dispatch policy is data, not code</w:t>
      </w:r>
    </w:p>
    <w:p>
      <w:pPr>
        <w:spacing w:after="120" w:before="80" w:line="320"/>
      </w:pPr>
      <w:r>
        <w:rPr>
          <w:rFonts w:ascii="Arial" w:cs="Arial" w:eastAsia="Arial" w:hAnsi="Arial"/>
          <w:color w:val="1A1A1A"/>
          <w:sz w:val="22"/>
          <w:szCs w:val="22"/>
        </w:rPr>
        <w:t xml:space="preserve">Competence model is structured, queryable, and reconciled between authored and measured</w:t>
      </w:r>
    </w:p>
    <w:p>
      <w:pPr>
        <w:spacing w:after="120" w:before="80" w:line="320"/>
      </w:pPr>
      <w:r>
        <w:rPr>
          <w:rFonts w:ascii="Arial" w:cs="Arial" w:eastAsia="Arial" w:hAnsi="Arial"/>
          <w:color w:val="1A1A1A"/>
          <w:sz w:val="22"/>
          <w:szCs w:val="22"/>
        </w:rPr>
        <w:t xml:space="preserve">Calibrated unknowns trigger three-tier specialist search; deferral patterns are themselves measured</w:t>
      </w:r>
    </w:p>
    <w:p>
      <w:pPr>
        <w:spacing w:after="120" w:before="80" w:line="320"/>
      </w:pPr>
      <w:r>
        <w:rPr>
          <w:rFonts w:ascii="Arial" w:cs="Arial" w:eastAsia="Arial" w:hAnsi="Arial"/>
          <w:color w:val="1A1A1A"/>
          <w:sz w:val="22"/>
          <w:szCs w:val="22"/>
        </w:rPr>
        <w:t xml:space="preserve">Conviction system has four bands with conservative starting calibration; pushback handling distinguishes new information from disagreement</w:t>
      </w:r>
    </w:p>
    <w:p>
      <w:pPr>
        <w:spacing w:after="120" w:before="80" w:line="320"/>
      </w:pPr>
      <w:r>
        <w:rPr>
          <w:rFonts w:ascii="Arial" w:cs="Arial" w:eastAsia="Arial" w:hAnsi="Arial"/>
          <w:color w:val="1A1A1A"/>
          <w:sz w:val="22"/>
          <w:szCs w:val="22"/>
        </w:rPr>
        <w:t xml:space="preserve">High-stakes acknowledgement pattern for legal/regulatory/financial/contractual domains</w:t>
      </w:r>
    </w:p>
    <w:p>
      <w:pPr>
        <w:spacing w:after="120" w:before="80" w:line="320"/>
      </w:pPr>
      <w:r>
        <w:rPr>
          <w:rFonts w:ascii="Arial" w:cs="Arial" w:eastAsia="Arial" w:hAnsi="Arial"/>
          <w:color w:val="1A1A1A"/>
          <w:sz w:val="22"/>
          <w:szCs w:val="22"/>
        </w:rPr>
        <w:t xml:space="preserve">Unified agent definition format spanning platform, marketplace, and syndicated agents</w:t>
      </w:r>
    </w:p>
    <w:p>
      <w:pPr>
        <w:spacing w:after="120" w:before="80" w:line="320"/>
      </w:pPr>
      <w:r>
        <w:rPr>
          <w:rFonts w:ascii="Arial" w:cs="Arial" w:eastAsia="Arial" w:hAnsi="Arial"/>
          <w:color w:val="1A1A1A"/>
          <w:sz w:val="22"/>
          <w:szCs w:val="22"/>
        </w:rPr>
        <w:t xml:space="preserve">Multi-stage submission and certification pipeline with four trust tiers</w:t>
      </w:r>
    </w:p>
    <w:p>
      <w:pPr>
        <w:spacing w:after="120" w:before="80" w:line="320"/>
      </w:pPr>
      <w:r>
        <w:rPr>
          <w:rFonts w:ascii="Arial" w:cs="Arial" w:eastAsia="Arial" w:hAnsi="Arial"/>
          <w:color w:val="1A1A1A"/>
          <w:sz w:val="22"/>
          <w:szCs w:val="22"/>
        </w:rPr>
        <w:t xml:space="preserve">Persona versioning enforced at the runtime and data layer</w:t>
      </w:r>
    </w:p>
    <w:p>
      <w:pPr>
        <w:pStyle w:val="Heading2"/>
        <w:spacing w:after="140" w:before="360"/>
      </w:pPr>
      <w:r>
        <w:rPr>
          <w:rFonts w:ascii="Arial" w:cs="Arial" w:eastAsia="Arial" w:hAnsi="Arial"/>
          <w:b/>
          <w:bCs/>
          <w:color w:val="1A1A1A"/>
          <w:sz w:val="28"/>
          <w:szCs w:val="28"/>
        </w:rPr>
        <w:t xml:space="preserve">6.10 The three-layer expertise architecture (v2 — added)</w:t>
      </w:r>
    </w:p>
    <w:p>
      <w:pPr>
        <w:spacing w:after="120" w:before="80" w:line="320"/>
      </w:pPr>
      <w:r>
        <w:rPr>
          <w:rFonts w:ascii="Arial" w:cs="Arial" w:eastAsia="Arial" w:hAnsi="Arial"/>
          <w:color w:val="1A1A1A"/>
          <w:sz w:val="22"/>
          <w:szCs w:val="22"/>
        </w:rPr>
        <w:t xml:space="preserve">The marketplace at v1 is architected as three architectural layers, each with distinct context handling and economics:</w:t>
      </w:r>
    </w:p>
    <w:p>
      <w:pPr>
        <w:pStyle w:val="ListParagraph"/>
        <w:numPr>
          <w:ilvl w:val="0"/>
          <w:numId w:val="2"/>
        </w:numPr>
        <w:spacing w:after="60" w:before="60" w:line="300"/>
      </w:pPr>
      <w:r>
        <w:rPr>
          <w:rFonts w:ascii="Arial" w:cs="Arial" w:eastAsia="Arial" w:hAnsi="Arial"/>
          <w:color w:val="1A1A1A"/>
          <w:sz w:val="22"/>
          <w:szCs w:val="22"/>
        </w:rPr>
        <w:t xml:space="preserve">Layer 1: Default roster agents. The 5-7 agents the founder works with from day one (Sarah Chen as CFO, Priya Reddy as CMO, David Park as CRO, Marcus Webb as Devil's Advocate, plus 1-3 others depending on company). These agents hold full business brain context across meetings. They are included in the platform subscription. They have continuity — they remember prior conversations, prior decisions, prior reasoning.</w:t>
      </w:r>
    </w:p>
    <w:p>
      <w:pPr>
        <w:pStyle w:val="ListParagraph"/>
        <w:numPr>
          <w:ilvl w:val="0"/>
          <w:numId w:val="2"/>
        </w:numPr>
        <w:spacing w:after="60" w:before="60" w:line="300"/>
      </w:pPr>
      <w:r>
        <w:rPr>
          <w:rFonts w:ascii="Arial" w:cs="Arial" w:eastAsia="Arial" w:hAnsi="Arial"/>
          <w:color w:val="1A1A1A"/>
          <w:sz w:val="22"/>
          <w:szCs w:val="22"/>
        </w:rPr>
        <w:t xml:space="preserve">Layer 2: Marketplace specialists (AI agents). Domain-specialist AI agents the founder can invoke from the marketplace. Crucial architectural property: marketplace specialists do NOT hold full brain context. They have scoped transient context — only what is relevant to the question being asked, scoped by the default roster agent that invoked them. After the interaction, the specialist context is discarded; the result and reasoning are integrated by the default roster agent into the brain. This protects founder data, keeps marketplace economics workable, and matches the actual specialist workflow (a specialist needs context for the question, not the whole business).</w:t>
      </w:r>
    </w:p>
    <w:p>
      <w:pPr>
        <w:pStyle w:val="ListParagraph"/>
        <w:numPr>
          <w:ilvl w:val="0"/>
          <w:numId w:val="2"/>
        </w:numPr>
        <w:spacing w:after="60" w:before="60" w:line="300"/>
      </w:pPr>
      <w:r>
        <w:rPr>
          <w:rFonts w:ascii="Arial" w:cs="Arial" w:eastAsia="Arial" w:hAnsi="Arial"/>
          <w:color w:val="1A1A1A"/>
          <w:sz w:val="22"/>
          <w:szCs w:val="22"/>
        </w:rPr>
        <w:t xml:space="preserve">Layer 3: Verified human experts. Domain experts the founder can engage for hourly, weekly, or monthly retainers. Closed-network at v1 (invitation-only, LinkedIn-anchored verification). Brain context is shared with the human expert with explicit founder consent, scoped per engagement.</w:t>
      </w:r>
    </w:p>
    <w:p>
      <w:pPr>
        <w:spacing w:after="120" w:before="80" w:line="320"/>
      </w:pPr>
      <w:r>
        <w:rPr>
          <w:rFonts w:ascii="Arial" w:cs="Arial" w:eastAsia="Arial" w:hAnsi="Arial"/>
          <w:color w:val="1A1A1A"/>
          <w:sz w:val="22"/>
          <w:szCs w:val="22"/>
        </w:rPr>
        <w:t xml:space="preserve">The specialist invocation pattern works as follows. A default roster agent (Sarah Chen, for example) is in a meeting and identifies that the question requires specialist depth she does not have. She formulates a scoped specialist question with the relevant context. The Marketplace Service is queried for available specialists matching the question. The founder confirms specialist engagement (and acknowledges per-use cost if applicable). The specialist receives the scoped question and scoped context, produces a response, returns it. Sarah integrates the response into the meeting and the brain. The specialist context is discarded after the interaction.</w:t>
      </w:r>
    </w:p>
    <w:p>
      <w:pPr>
        <w:pStyle w:val="Heading2"/>
        <w:spacing w:after="140" w:before="360"/>
      </w:pPr>
      <w:r>
        <w:rPr>
          <w:rFonts w:ascii="Arial" w:cs="Arial" w:eastAsia="Arial" w:hAnsi="Arial"/>
          <w:b/>
          <w:bCs/>
          <w:color w:val="1A1A1A"/>
          <w:sz w:val="28"/>
          <w:szCs w:val="28"/>
        </w:rPr>
        <w:t xml:space="preserve">6.11 Closed-network human expert architecture (v2 — added)</w:t>
      </w:r>
    </w:p>
    <w:p>
      <w:pPr>
        <w:spacing w:after="120" w:before="80" w:line="320"/>
      </w:pPr>
      <w:r>
        <w:rPr>
          <w:rFonts w:ascii="Arial" w:cs="Arial" w:eastAsia="Arial" w:hAnsi="Arial"/>
          <w:color w:val="1A1A1A"/>
          <w:sz w:val="22"/>
          <w:szCs w:val="22"/>
        </w:rPr>
        <w:t xml:space="preserve">At v1, the human expert layer of the marketplace is closed-network: experts join only by invitation. LinkedIn URL is the verification anchor — admin team verifies the LinkedIn profile against the application metadata, the expert's claimed specialties, and any references provided. Public application architecture (apply, get reviewed, accept, onboard) is deferred to v2.</w:t>
      </w:r>
    </w:p>
    <w:p>
      <w:pPr>
        <w:spacing w:after="120" w:before="80" w:line="320"/>
      </w:pPr>
      <w:r>
        <w:rPr>
          <w:rFonts w:ascii="Arial" w:cs="Arial" w:eastAsia="Arial" w:hAnsi="Arial"/>
          <w:color w:val="1A1A1A"/>
          <w:sz w:val="22"/>
          <w:szCs w:val="22"/>
        </w:rPr>
        <w:t xml:space="preserve">Why closed-network at v1: trust calibration is the dominant risk in marketplace launches. Closed-network lets the platform team hand-pick the first 30-50 experts, work closely with them through Phase 0 and Phase 1, build a reference set of expert behavior that defines the bar. When public application opens at v2, the bar exists and is enforceable.</w:t>
      </w:r>
    </w:p>
    <w:p>
      <w:pPr>
        <w:spacing w:after="120" w:before="80" w:line="320"/>
      </w:pPr>
      <w:r>
        <w:rPr>
          <w:rFonts w:ascii="Arial" w:cs="Arial" w:eastAsia="Arial" w:hAnsi="Arial"/>
          <w:color w:val="1A1A1A"/>
          <w:sz w:val="22"/>
          <w:szCs w:val="22"/>
        </w:rPr>
        <w:t xml:space="preserve">Architecturally: invitation flow is in the Admin Console. Invitation token lifecycle: created by admin user with intended expert email, sent via email, expert clicks link, completes onboarding (profile, availability, billing model preferences), submits for verification, admin user reviews and approves, expert is active. Public application flow is sketched in the data model (applications table planned) but not built at v1.</w:t>
      </w:r>
    </w:p>
    <w:p>
      <w:pPr>
        <w:pStyle w:val="Heading2"/>
        <w:spacing w:after="140" w:before="360"/>
      </w:pPr>
      <w:r>
        <w:rPr>
          <w:rFonts w:ascii="Arial" w:cs="Arial" w:eastAsia="Arial" w:hAnsi="Arial"/>
          <w:b/>
          <w:bCs/>
          <w:color w:val="1A1A1A"/>
          <w:sz w:val="28"/>
          <w:szCs w:val="28"/>
        </w:rPr>
        <w:t xml:space="preserve">6.12 Multi-dimensional rating system (v2 — added)</w:t>
      </w:r>
    </w:p>
    <w:p>
      <w:pPr>
        <w:spacing w:after="120" w:before="80" w:line="320"/>
      </w:pPr>
      <w:r>
        <w:rPr>
          <w:rFonts w:ascii="Arial" w:cs="Arial" w:eastAsia="Arial" w:hAnsi="Arial"/>
          <w:color w:val="1A1A1A"/>
          <w:sz w:val="22"/>
          <w:szCs w:val="22"/>
        </w:rPr>
        <w:t xml:space="preserve">Both marketplace agents and human experts are rated on the same four dimensions. This is deliberate — same product surface, same data shape, same reasoning about quality.</w:t>
      </w:r>
    </w:p>
    <w:p>
      <w:pPr>
        <w:pStyle w:val="ListParagraph"/>
        <w:numPr>
          <w:ilvl w:val="0"/>
          <w:numId w:val="2"/>
        </w:numPr>
        <w:spacing w:after="60" w:before="60" w:line="300"/>
      </w:pPr>
      <w:r>
        <w:rPr>
          <w:rFonts w:ascii="Arial" w:cs="Arial" w:eastAsia="Arial" w:hAnsi="Arial"/>
          <w:color w:val="1A1A1A"/>
          <w:sz w:val="22"/>
          <w:szCs w:val="22"/>
        </w:rPr>
        <w:t xml:space="preserve">Challenged my assumptions (1-5): did this agent or expert push back on me where I was wrong, or did they just agree?</w:t>
      </w:r>
    </w:p>
    <w:p>
      <w:pPr>
        <w:pStyle w:val="ListParagraph"/>
        <w:numPr>
          <w:ilvl w:val="0"/>
          <w:numId w:val="2"/>
        </w:numPr>
        <w:spacing w:after="60" w:before="60" w:line="300"/>
      </w:pPr>
      <w:r>
        <w:rPr>
          <w:rFonts w:ascii="Arial" w:cs="Arial" w:eastAsia="Arial" w:hAnsi="Arial"/>
          <w:color w:val="1A1A1A"/>
          <w:sz w:val="22"/>
          <w:szCs w:val="22"/>
        </w:rPr>
        <w:t xml:space="preserve">Knew the domain (1-5): did this agent or expert demonstrate real expertise in the domain they claim?</w:t>
      </w:r>
    </w:p>
    <w:p>
      <w:pPr>
        <w:pStyle w:val="ListParagraph"/>
        <w:numPr>
          <w:ilvl w:val="0"/>
          <w:numId w:val="2"/>
        </w:numPr>
        <w:spacing w:after="60" w:before="60" w:line="300"/>
      </w:pPr>
      <w:r>
        <w:rPr>
          <w:rFonts w:ascii="Arial" w:cs="Arial" w:eastAsia="Arial" w:hAnsi="Arial"/>
          <w:color w:val="1A1A1A"/>
          <w:sz w:val="22"/>
          <w:szCs w:val="22"/>
        </w:rPr>
        <w:t xml:space="preserve">Actionable (1-5): did I leave with something I could actually do?</w:t>
      </w:r>
    </w:p>
    <w:p>
      <w:pPr>
        <w:pStyle w:val="ListParagraph"/>
        <w:numPr>
          <w:ilvl w:val="0"/>
          <w:numId w:val="2"/>
        </w:numPr>
        <w:spacing w:after="60" w:before="60" w:line="300"/>
      </w:pPr>
      <w:r>
        <w:rPr>
          <w:rFonts w:ascii="Arial" w:cs="Arial" w:eastAsia="Arial" w:hAnsi="Arial"/>
          <w:color w:val="1A1A1A"/>
          <w:sz w:val="22"/>
          <w:szCs w:val="22"/>
        </w:rPr>
        <w:t xml:space="preserve">Would keep working with (binary yes/no): would I engage this agent or expert again?</w:t>
      </w:r>
    </w:p>
    <w:p>
      <w:pPr>
        <w:spacing w:after="120" w:before="80" w:line="320"/>
      </w:pPr>
      <w:r>
        <w:rPr>
          <w:rFonts w:ascii="Arial" w:cs="Arial" w:eastAsia="Arial" w:hAnsi="Arial"/>
          <w:color w:val="1A1A1A"/>
          <w:sz w:val="22"/>
          <w:szCs w:val="22"/>
        </w:rPr>
        <w:t xml:space="preserve">Ratings are captured after each meeting where the agent or expert participated. The "would keep working with" binary signal is the strongest aggregate signal for the marketplace economics — agents and experts whose binary trends downward are reviewed by the admin team.</w:t>
      </w:r>
    </w:p>
    <w:p>
      <w:pPr>
        <w:spacing w:after="120" w:before="80" w:line="320"/>
      </w:pPr>
      <w:r>
        <w:rPr>
          <w:rFonts w:ascii="Arial" w:cs="Arial" w:eastAsia="Arial" w:hAnsi="Arial"/>
          <w:color w:val="1A1A1A"/>
          <w:sz w:val="22"/>
          <w:szCs w:val="22"/>
        </w:rPr>
        <w:t xml:space="preserve">Ratings are visible to the founder (in their My Team management surface, against the agent or expert) and aggregated for the marketplace catalog (visible to other founders considering engagement). The aggregation is rolling 60-day to balance recency and statistical stability.</w:t>
      </w:r>
    </w:p>
    <w:p>
      <w:pPr>
        <w:pStyle w:val="Heading1"/>
        <w:spacing w:after="200" w:before="480"/>
      </w:pPr>
      <w:r>
        <w:rPr>
          <w:rFonts w:ascii="Arial" w:cs="Arial" w:eastAsia="Arial" w:hAnsi="Arial"/>
          <w:b/>
          <w:bCs/>
          <w:color w:val="4A3FC7"/>
          <w:sz w:val="36"/>
          <w:szCs w:val="36"/>
        </w:rPr>
        <w:t xml:space="preserve">7. Layer 6 — Routing, Performance, and the Learning Loop</w:t>
      </w:r>
    </w:p>
    <w:p>
      <w:pPr>
        <w:spacing w:after="120" w:before="80" w:line="320"/>
      </w:pPr>
      <w:r>
        <w:rPr>
          <w:rFonts w:ascii="Arial" w:cs="Arial" w:eastAsia="Arial" w:hAnsi="Arial"/>
          <w:color w:val="1A1A1A"/>
          <w:sz w:val="22"/>
          <w:szCs w:val="22"/>
        </w:rPr>
        <w:t xml:space="preserve">This layer specifies how the platform chooses which model and provider to use for any given inference call, how it measures the quality of every contribution agents make, and how it learns from accumulated data to improve continuously. These three concerns are tightly coupled: the routing decision generates the data the performance layer measures, and the performance layer’s outputs drive the routing layer’s evolution.</w:t>
      </w:r>
    </w:p>
    <w:p>
      <w:pPr>
        <w:pStyle w:val="Heading2"/>
        <w:spacing w:after="140" w:before="360"/>
      </w:pPr>
      <w:r>
        <w:rPr>
          <w:rFonts w:ascii="Arial" w:cs="Arial" w:eastAsia="Arial" w:hAnsi="Arial"/>
          <w:b/>
          <w:bCs/>
          <w:color w:val="1A1A1A"/>
          <w:sz w:val="28"/>
          <w:szCs w:val="28"/>
        </w:rPr>
        <w:t xml:space="preserve">7.1 The Routing Service</w:t>
      </w:r>
    </w:p>
    <w:p>
      <w:pPr>
        <w:spacing w:after="120" w:before="80" w:line="320"/>
      </w:pPr>
      <w:r>
        <w:rPr>
          <w:rFonts w:ascii="Arial" w:cs="Arial" w:eastAsia="Arial" w:hAnsi="Arial"/>
          <w:color w:val="1A1A1A"/>
          <w:sz w:val="22"/>
          <w:szCs w:val="22"/>
        </w:rPr>
        <w:t xml:space="preserve">The Routing Service is the intelligent layer that picks the model and provider for every inference call. It is queried by the agent runtime, the meeting pipeline, the brain ingestion path, the evaluation harness, and any other component that calls an external AI provider.</w:t>
      </w:r>
    </w:p>
    <w:p>
      <w:pPr>
        <w:pStyle w:val="Heading3"/>
        <w:spacing w:after="100" w:before="280"/>
      </w:pPr>
      <w:r>
        <w:rPr>
          <w:rFonts w:ascii="Arial" w:cs="Arial" w:eastAsia="Arial" w:hAnsi="Arial"/>
          <w:b/>
          <w:bCs/>
          <w:color w:val="1A1A1A"/>
          <w:sz w:val="23"/>
          <w:szCs w:val="23"/>
        </w:rPr>
        <w:t xml:space="preserve">7.1.1 The provider registry</w:t>
      </w:r>
    </w:p>
    <w:p>
      <w:pPr>
        <w:spacing w:after="120" w:before="80" w:line="320"/>
      </w:pPr>
      <w:r>
        <w:rPr>
          <w:rFonts w:ascii="Arial" w:cs="Arial" w:eastAsia="Arial" w:hAnsi="Arial"/>
          <w:color w:val="1A1A1A"/>
          <w:sz w:val="22"/>
          <w:szCs w:val="22"/>
        </w:rPr>
        <w:t xml:space="preserve">The registry holds the bounded set of providers and their tier assignments per language. The schema is in Section 4.3.7 of this document. The registry has roughly two hundred entries at steady state: 7 providers × 4 tiers × 9 languages, minus combinations that do not apply.</w:t>
      </w:r>
    </w:p>
    <w:p>
      <w:pPr>
        <w:spacing w:after="120" w:before="80" w:line="320"/>
      </w:pPr>
      <w:r>
        <w:rPr>
          <w:rFonts w:ascii="Arial" w:cs="Arial" w:eastAsia="Arial" w:hAnsi="Arial"/>
          <w:color w:val="1A1A1A"/>
          <w:sz w:val="22"/>
          <w:szCs w:val="22"/>
        </w:rPr>
        <w:t xml:space="preserve">Each tier_assignment row specifies one provider model in one tier slot for one language, with the assignment date, the assigning operator, and the validation score that justified the assignment. The registry is the single source of truth for the routing decision.</w:t>
      </w:r>
    </w:p>
    <w:p>
      <w:pPr>
        <w:pStyle w:val="Heading3"/>
        <w:spacing w:after="100" w:before="280"/>
      </w:pPr>
      <w:r>
        <w:rPr>
          <w:rFonts w:ascii="Arial" w:cs="Arial" w:eastAsia="Arial" w:hAnsi="Arial"/>
          <w:b/>
          <w:bCs/>
          <w:color w:val="1A1A1A"/>
          <w:sz w:val="23"/>
          <w:szCs w:val="23"/>
        </w:rPr>
        <w:t xml:space="preserve">7.1.2 The routing decision</w:t>
      </w:r>
    </w:p>
    <w:p>
      <w:pPr>
        <w:spacing w:after="120" w:before="80" w:line="320"/>
      </w:pPr>
      <w:r>
        <w:rPr>
          <w:rFonts w:ascii="Arial" w:cs="Arial" w:eastAsia="Arial" w:hAnsi="Arial"/>
          <w:color w:val="1A1A1A"/>
          <w:sz w:val="22"/>
          <w:szCs w:val="22"/>
        </w:rPr>
        <w:t xml:space="preserve">The decision is a deterministic two-step lookup followed by adjustments:</w:t>
      </w:r>
    </w:p>
    <w:p>
      <w:pPr>
        <w:spacing w:after="120" w:before="80" w:line="320"/>
      </w:pPr>
      <w:r>
        <w:rPr>
          <w:rFonts w:ascii="Arial" w:cs="Arial" w:eastAsia="Arial" w:hAnsi="Arial"/>
          <w:color w:val="1A1A1A"/>
          <w:sz w:val="22"/>
          <w:szCs w:val="22"/>
        </w:rPr>
        <w:t xml:space="preserve">Map (customer_tier, task_type, language) → target_model_tier. The mapping is the policy layer (per Section 7.1.3).</w:t>
      </w:r>
    </w:p>
    <w:p>
      <w:pPr>
        <w:spacing w:after="120" w:before="80" w:line="320"/>
      </w:pPr>
      <w:r>
        <w:rPr>
          <w:rFonts w:ascii="Arial" w:cs="Arial" w:eastAsia="Arial" w:hAnsi="Arial"/>
          <w:color w:val="1A1A1A"/>
          <w:sz w:val="22"/>
          <w:szCs w:val="22"/>
        </w:rPr>
        <w:t xml:space="preserve">Look up tier_assignments for (target_model_tier, language) → candidate provider models. There may be a primary, a secondary, and a tertiary fallback.</w:t>
      </w:r>
    </w:p>
    <w:p>
      <w:pPr>
        <w:spacing w:after="120" w:before="80" w:line="320"/>
      </w:pPr>
      <w:r>
        <w:rPr>
          <w:rFonts w:ascii="Arial" w:cs="Arial" w:eastAsia="Arial" w:hAnsi="Arial"/>
          <w:color w:val="1A1A1A"/>
          <w:sz w:val="22"/>
          <w:szCs w:val="22"/>
        </w:rPr>
        <w:t xml:space="preserve">Apply per-tenant overrides if any (e.g., a German enterprise customer’s requirement to route only to EU-resident providers).</w:t>
      </w:r>
    </w:p>
    <w:p>
      <w:pPr>
        <w:spacing w:after="120" w:before="80" w:line="320"/>
      </w:pPr>
      <w:r>
        <w:rPr>
          <w:rFonts w:ascii="Arial" w:cs="Arial" w:eastAsia="Arial" w:hAnsi="Arial"/>
          <w:color w:val="1A1A1A"/>
          <w:sz w:val="22"/>
          <w:szCs w:val="22"/>
        </w:rPr>
        <w:t xml:space="preserve">Apply quality floors (per Section 7.1.5): if the candidate’s recent quality score for this task type is below floor, fall through to the next candidate.</w:t>
      </w:r>
    </w:p>
    <w:p>
      <w:pPr>
        <w:spacing w:after="120" w:before="80" w:line="320"/>
      </w:pPr>
      <w:r>
        <w:rPr>
          <w:rFonts w:ascii="Arial" w:cs="Arial" w:eastAsia="Arial" w:hAnsi="Arial"/>
          <w:color w:val="1A1A1A"/>
          <w:sz w:val="22"/>
          <w:szCs w:val="22"/>
        </w:rPr>
        <w:t xml:space="preserve">Apply availability and rate limit checks: if the candidate is currently rate-limited or returning errors, fall through.</w:t>
      </w:r>
    </w:p>
    <w:p>
      <w:pPr>
        <w:spacing w:after="120" w:before="80" w:line="320"/>
      </w:pPr>
      <w:r>
        <w:rPr>
          <w:rFonts w:ascii="Arial" w:cs="Arial" w:eastAsia="Arial" w:hAnsi="Arial"/>
          <w:color w:val="1A1A1A"/>
          <w:sz w:val="22"/>
          <w:szCs w:val="22"/>
        </w:rPr>
        <w:t xml:space="preserve">Return the selected provider model.</w:t>
      </w:r>
    </w:p>
    <w:p>
      <w:pPr>
        <w:spacing w:after="120" w:before="80" w:line="320"/>
      </w:pPr>
      <w:r>
        <w:rPr>
          <w:rFonts w:ascii="Arial" w:cs="Arial" w:eastAsia="Arial" w:hAnsi="Arial"/>
          <w:color w:val="1A1A1A"/>
          <w:sz w:val="22"/>
          <w:szCs w:val="22"/>
        </w:rPr>
        <w:t xml:space="preserve">The decision is fast (under 10 ms in the common path) because the registry, the policy mappings, and the recent quality scores are cached in Redis. The Postgres write of the routing_decisions row is asynchronous and does not block the call.</w:t>
      </w:r>
    </w:p>
    <w:p>
      <w:pPr>
        <w:pStyle w:val="Heading3"/>
        <w:spacing w:after="100" w:before="280"/>
      </w:pPr>
      <w:r>
        <w:rPr>
          <w:rFonts w:ascii="Arial" w:cs="Arial" w:eastAsia="Arial" w:hAnsi="Arial"/>
          <w:b/>
          <w:bCs/>
          <w:color w:val="1A1A1A"/>
          <w:sz w:val="23"/>
          <w:szCs w:val="23"/>
        </w:rPr>
        <w:t xml:space="preserve">7.1.3 The policy layer</w:t>
      </w:r>
    </w:p>
    <w:p>
      <w:pPr>
        <w:spacing w:after="120" w:before="80" w:line="320"/>
      </w:pPr>
      <w:r>
        <w:rPr>
          <w:rFonts w:ascii="Arial" w:cs="Arial" w:eastAsia="Arial" w:hAnsi="Arial"/>
          <w:color w:val="1A1A1A"/>
          <w:sz w:val="22"/>
          <w:szCs w:val="22"/>
        </w:rPr>
        <w:t xml:space="preserve">Tier policy is data, not code. A separate policy table maps customer subscription tiers and task types to target model tiers. Product and business own this table; engineering reads and applies. The mapping evolves over time without engineering deployments.</w:t>
      </w:r>
    </w:p>
    <w:p>
      <w:pPr>
        <w:spacing w:after="120" w:before="80" w:line="320"/>
      </w:pPr>
      <w:r>
        <w:rPr>
          <w:rFonts w:ascii="Arial" w:cs="Arial" w:eastAsia="Arial" w:hAnsi="Arial"/>
          <w:color w:val="1A1A1A"/>
          <w:sz w:val="22"/>
          <w:szCs w:val="22"/>
        </w:rPr>
        <w:t xml:space="preserve">Representative policy rows:</w:t>
      </w:r>
    </w:p>
    <w:p>
      <w:pPr>
        <w:spacing w:after="120" w:before="80" w:line="320"/>
      </w:pPr>
      <w:r>
        <w:rPr>
          <w:rFonts w:ascii="Arial" w:cs="Arial" w:eastAsia="Arial" w:hAnsi="Arial"/>
          <w:color w:val="1A1A1A"/>
          <w:sz w:val="22"/>
          <w:szCs w:val="22"/>
        </w:rPr>
        <w:t xml:space="preserve">Task types are an enumerated set that the platform commits to. Adding a task type is a deliberate change requiring evaluation harness coverage; the enum is small (under 30 values) and grows slowly.</w:t>
      </w:r>
    </w:p>
    <w:p>
      <w:pPr>
        <w:pStyle w:val="Heading3"/>
        <w:spacing w:after="100" w:before="280"/>
      </w:pPr>
      <w:r>
        <w:rPr>
          <w:rFonts w:ascii="Arial" w:cs="Arial" w:eastAsia="Arial" w:hAnsi="Arial"/>
          <w:b/>
          <w:bCs/>
          <w:color w:val="1A1A1A"/>
          <w:sz w:val="23"/>
          <w:szCs w:val="23"/>
        </w:rPr>
        <w:t xml:space="preserve">7.1.4 The 75/25 quality-cost weighting</w:t>
      </w:r>
    </w:p>
    <w:p>
      <w:pPr>
        <w:spacing w:after="120" w:before="80" w:line="320"/>
      </w:pPr>
      <w:r>
        <w:rPr>
          <w:rFonts w:ascii="Arial" w:cs="Arial" w:eastAsia="Arial" w:hAnsi="Arial"/>
          <w:color w:val="1A1A1A"/>
          <w:sz w:val="22"/>
          <w:szCs w:val="22"/>
        </w:rPr>
        <w:t xml:space="preserve">Per the resolution of Concern 9, the optimisation function is committed at 75% quality, 25% cost. Within a tier slot, when multiple provider models could serve the call, the selection score is:</w:t>
      </w:r>
    </w:p>
    <w:p>
      <w:pPr>
        <w:spacing w:after="120" w:before="80" w:line="320"/>
      </w:pPr>
      <w:r>
        <w:rPr>
          <w:rFonts w:ascii="Arial" w:cs="Arial" w:eastAsia="Arial" w:hAnsi="Arial"/>
          <w:color w:val="1A1A1A"/>
          <w:sz w:val="22"/>
          <w:szCs w:val="22"/>
        </w:rPr>
        <w:t xml:space="preserve">selection_score = 0.75 * quality_score - 0.25 * normalised_cost_score</w:t>
      </w:r>
    </w:p>
    <w:p>
      <w:pPr>
        <w:spacing w:after="120" w:before="80" w:line="320"/>
      </w:pPr>
      <w:r>
        <w:rPr>
          <w:rFonts w:ascii="Arial" w:cs="Arial" w:eastAsia="Arial" w:hAnsi="Arial"/>
          <w:color w:val="1A1A1A"/>
          <w:sz w:val="22"/>
          <w:szCs w:val="22"/>
        </w:rPr>
        <w:t xml:space="preserve">Where quality_score is the recent measured quality from the Performance Service (rolling 7-day window per provider model per task type per language) and normalised_cost_score is the provider’s cost normalised against the tier’s typical cost range. The score is computed at registry-update time and cached; routing decisions read the cached value.</w:t>
      </w:r>
    </w:p>
    <w:p>
      <w:pPr>
        <w:pStyle w:val="Heading3"/>
        <w:spacing w:after="100" w:before="280"/>
      </w:pPr>
      <w:r>
        <w:rPr>
          <w:rFonts w:ascii="Arial" w:cs="Arial" w:eastAsia="Arial" w:hAnsi="Arial"/>
          <w:b/>
          <w:bCs/>
          <w:color w:val="1A1A1A"/>
          <w:sz w:val="23"/>
          <w:szCs w:val="23"/>
        </w:rPr>
        <w:t xml:space="preserve">7.1.5 Quality floors</w:t>
      </w:r>
    </w:p>
    <w:p>
      <w:pPr>
        <w:spacing w:after="120" w:before="80" w:line="320"/>
      </w:pPr>
      <w:r>
        <w:rPr>
          <w:rFonts w:ascii="Arial" w:cs="Arial" w:eastAsia="Arial" w:hAnsi="Arial"/>
          <w:color w:val="1A1A1A"/>
          <w:sz w:val="22"/>
          <w:szCs w:val="22"/>
        </w:rPr>
        <w:t xml:space="preserve">Per the resolution of Concern 9, each task type has a minimum quality threshold. Cost optimisation cannot route below it. The quality_floors table holds these thresholds; they are set by the AI Quality Lead based on accumulated data and product judgement.</w:t>
      </w:r>
    </w:p>
    <w:p>
      <w:pPr>
        <w:spacing w:after="120" w:before="80" w:line="320"/>
      </w:pPr>
      <w:r>
        <w:rPr>
          <w:rFonts w:ascii="Arial" w:cs="Arial" w:eastAsia="Arial" w:hAnsi="Arial"/>
          <w:color w:val="1A1A1A"/>
          <w:sz w:val="22"/>
          <w:szCs w:val="22"/>
        </w:rPr>
        <w:t xml:space="preserve">When no provider model in the target tier meets the floor for a given task type and language, the routing decision falls through to the tier above. If no provider in any tier meets the floor, the agent acknowledges the limit honestly to the founder ("This is at the edge of what I can reliably analyse right now") and recommends a human expert. This is the calibrated-uncertainty pattern from Layer 5 feeding the routing layer.</w:t>
      </w:r>
    </w:p>
    <w:p>
      <w:pPr>
        <w:pStyle w:val="Heading3"/>
        <w:spacing w:after="100" w:before="280"/>
      </w:pPr>
      <w:r>
        <w:rPr>
          <w:rFonts w:ascii="Arial" w:cs="Arial" w:eastAsia="Arial" w:hAnsi="Arial"/>
          <w:b/>
          <w:bCs/>
          <w:color w:val="1A1A1A"/>
          <w:sz w:val="23"/>
          <w:szCs w:val="23"/>
        </w:rPr>
        <w:t xml:space="preserve">7.1.6 Per-tenant overrides</w:t>
      </w:r>
    </w:p>
    <w:p>
      <w:pPr>
        <w:spacing w:after="120" w:before="80" w:line="320"/>
      </w:pPr>
      <w:r>
        <w:rPr>
          <w:rFonts w:ascii="Arial" w:cs="Arial" w:eastAsia="Arial" w:hAnsi="Arial"/>
          <w:color w:val="1A1A1A"/>
          <w:sz w:val="22"/>
          <w:szCs w:val="22"/>
        </w:rPr>
        <w:t xml:space="preserve">Some tenants require specific routing constraints. A German enterprise might require all reasoning to run on EU-resident providers; a healthcare tenant might require providers under specific data agreements. These constraints are stored per tenant in the routing_overrides table and applied as filters before the standard registry lookup.</w:t>
      </w:r>
    </w:p>
    <w:p>
      <w:pPr>
        <w:spacing w:after="120" w:before="80" w:line="320"/>
      </w:pPr>
      <w:r>
        <w:rPr>
          <w:rFonts w:ascii="Arial" w:cs="Arial" w:eastAsia="Arial" w:hAnsi="Arial"/>
          <w:color w:val="1A1A1A"/>
          <w:sz w:val="22"/>
          <w:szCs w:val="22"/>
        </w:rPr>
        <w:t xml:space="preserve">Overrides can also be voluntary: a founder testing a new provider can request that their tenant route to that provider for a defined window. This is captured as a time-bounded override.</w:t>
      </w:r>
    </w:p>
    <w:p>
      <w:pPr>
        <w:pStyle w:val="Heading3"/>
        <w:spacing w:after="100" w:before="280"/>
      </w:pPr>
      <w:r>
        <w:rPr>
          <w:rFonts w:ascii="Arial" w:cs="Arial" w:eastAsia="Arial" w:hAnsi="Arial"/>
          <w:b/>
          <w:bCs/>
          <w:color w:val="1A1A1A"/>
          <w:sz w:val="23"/>
          <w:szCs w:val="23"/>
        </w:rPr>
        <w:t xml:space="preserve">7.1.7 Failover and graceful degradation</w:t>
      </w:r>
    </w:p>
    <w:p>
      <w:pPr>
        <w:spacing w:after="120" w:before="80" w:line="320"/>
      </w:pPr>
      <w:r>
        <w:rPr>
          <w:rFonts w:ascii="Arial" w:cs="Arial" w:eastAsia="Arial" w:hAnsi="Arial"/>
          <w:color w:val="1A1A1A"/>
          <w:sz w:val="22"/>
          <w:szCs w:val="22"/>
        </w:rPr>
        <w:t xml:space="preserve">Provider failures (rate limits, errors, latency exceeding budget) trigger automatic failover to the next-best candidate in the same tier slot. Failover is logged. Three consecutive failures of a candidate in a short window mark it temporarily unhealthy; subsequent traffic skips it for a cooldown period.</w:t>
      </w:r>
    </w:p>
    <w:p>
      <w:pPr>
        <w:spacing w:after="120" w:before="80" w:line="320"/>
      </w:pPr>
      <w:r>
        <w:rPr>
          <w:rFonts w:ascii="Arial" w:cs="Arial" w:eastAsia="Arial" w:hAnsi="Arial"/>
          <w:color w:val="1A1A1A"/>
          <w:sz w:val="22"/>
          <w:szCs w:val="22"/>
        </w:rPr>
        <w:t xml:space="preserve">Graceful degradation: if all candidates in a tier are unhealthy or below quality floor, the platform routes to the tier below with explicit acknowledgement to the founder where the contribution would otherwise have been substantial. For background tasks (summarisation, embedding generation, evaluation runs), the platform absorbs the degradation silently and retries when capacity recovers.</w:t>
      </w:r>
    </w:p>
    <w:p>
      <w:pPr>
        <w:pStyle w:val="Heading3"/>
        <w:spacing w:after="100" w:before="280"/>
      </w:pPr>
      <w:r>
        <w:rPr>
          <w:rFonts w:ascii="Arial" w:cs="Arial" w:eastAsia="Arial" w:hAnsi="Arial"/>
          <w:b/>
          <w:bCs/>
          <w:color w:val="1A1A1A"/>
          <w:sz w:val="23"/>
          <w:szCs w:val="23"/>
        </w:rPr>
        <w:t xml:space="preserve">7.1.8 The weekly evaluation cycle</w:t>
      </w:r>
    </w:p>
    <w:p>
      <w:pPr>
        <w:spacing w:after="120" w:before="80" w:line="320"/>
      </w:pPr>
      <w:r>
        <w:rPr>
          <w:rFonts w:ascii="Arial" w:cs="Arial" w:eastAsia="Arial" w:hAnsi="Arial"/>
          <w:color w:val="1A1A1A"/>
          <w:sz w:val="22"/>
          <w:szCs w:val="22"/>
        </w:rPr>
        <w:t xml:space="preserve">Once per week, a scheduled job runs the full evaluation harness against every active provider model and every candidate model worth evaluating. Results are stored per provider model per task type per language. The AI Quality Lead reviews proposed registry changes, approves or rejects, and the registry updates.</w:t>
      </w:r>
    </w:p>
    <w:p>
      <w:pPr>
        <w:spacing w:after="120" w:before="80" w:line="320"/>
      </w:pPr>
      <w:r>
        <w:rPr>
          <w:rFonts w:ascii="Arial" w:cs="Arial" w:eastAsia="Arial" w:hAnsi="Arial"/>
          <w:color w:val="1A1A1A"/>
          <w:sz w:val="22"/>
          <w:szCs w:val="22"/>
        </w:rPr>
        <w:t xml:space="preserve">Process detail:</w:t>
      </w:r>
    </w:p>
    <w:p>
      <w:pPr>
        <w:spacing w:after="120" w:before="80" w:line="320"/>
      </w:pPr>
      <w:r>
        <w:rPr>
          <w:rFonts w:ascii="Arial" w:cs="Arial" w:eastAsia="Arial" w:hAnsi="Arial"/>
          <w:color w:val="1A1A1A"/>
          <w:sz w:val="22"/>
          <w:szCs w:val="22"/>
        </w:rPr>
        <w:t xml:space="preserve">Sunday 02:00 UTC: scheduled job triggers. Pulls list of all provider models in the registry and any candidates the system has flagged.</w:t>
      </w:r>
    </w:p>
    <w:p>
      <w:pPr>
        <w:spacing w:after="120" w:before="80" w:line="320"/>
      </w:pPr>
      <w:r>
        <w:rPr>
          <w:rFonts w:ascii="Arial" w:cs="Arial" w:eastAsia="Arial" w:hAnsi="Arial"/>
          <w:color w:val="1A1A1A"/>
          <w:sz w:val="22"/>
          <w:szCs w:val="22"/>
        </w:rPr>
        <w:t xml:space="preserve">Runs the curated benchmark suite against each. Suite includes per-language test sets (1000+ cases per language at steady state) plus general capability benchmarks.</w:t>
      </w:r>
    </w:p>
    <w:p>
      <w:pPr>
        <w:spacing w:after="120" w:before="80" w:line="320"/>
      </w:pPr>
      <w:r>
        <w:rPr>
          <w:rFonts w:ascii="Arial" w:cs="Arial" w:eastAsia="Arial" w:hAnsi="Arial"/>
          <w:color w:val="1A1A1A"/>
          <w:sz w:val="22"/>
          <w:szCs w:val="22"/>
        </w:rPr>
        <w:t xml:space="preserve">Computes per-model scores. Compares to current tier assignments. Identifies candidate moves: promotions, demotions, replacements.</w:t>
      </w:r>
    </w:p>
    <w:p>
      <w:pPr>
        <w:spacing w:after="120" w:before="80" w:line="320"/>
      </w:pPr>
      <w:r>
        <w:rPr>
          <w:rFonts w:ascii="Arial" w:cs="Arial" w:eastAsia="Arial" w:hAnsi="Arial"/>
          <w:color w:val="1A1A1A"/>
          <w:sz w:val="22"/>
          <w:szCs w:val="22"/>
        </w:rPr>
        <w:t xml:space="preserve">Generates a report with proposed changes, supporting evidence, and impact projections. Posted to the AI Quality Lead’s queue.</w:t>
      </w:r>
    </w:p>
    <w:p>
      <w:pPr>
        <w:spacing w:after="120" w:before="80" w:line="320"/>
      </w:pPr>
      <w:r>
        <w:rPr>
          <w:rFonts w:ascii="Arial" w:cs="Arial" w:eastAsia="Arial" w:hAnsi="Arial"/>
          <w:color w:val="1A1A1A"/>
          <w:sz w:val="22"/>
          <w:szCs w:val="22"/>
        </w:rPr>
        <w:t xml:space="preserve">AI Quality Lead reviews. Approved changes are scheduled for canary rollout. Rejected changes are noted with reason for the next cycle.</w:t>
      </w:r>
    </w:p>
    <w:p>
      <w:pPr>
        <w:spacing w:after="120" w:before="80" w:line="320"/>
      </w:pPr>
      <w:r>
        <w:rPr>
          <w:rFonts w:ascii="Arial" w:cs="Arial" w:eastAsia="Arial" w:hAnsi="Arial"/>
          <w:color w:val="1A1A1A"/>
          <w:sz w:val="22"/>
          <w:szCs w:val="22"/>
        </w:rPr>
        <w:t xml:space="preserve">Approved changes hit canary on Monday morning: a small percentage of routing decisions for the affected tier slots use the new assignment. Quality and cost are monitored.</w:t>
      </w:r>
    </w:p>
    <w:p>
      <w:pPr>
        <w:spacing w:after="120" w:before="80" w:line="320"/>
      </w:pPr>
      <w:r>
        <w:rPr>
          <w:rFonts w:ascii="Arial" w:cs="Arial" w:eastAsia="Arial" w:hAnsi="Arial"/>
          <w:color w:val="1A1A1A"/>
          <w:sz w:val="22"/>
          <w:szCs w:val="22"/>
        </w:rPr>
        <w:t xml:space="preserve">On Wednesday, if canary is clean, the assignment goes to full rollout. Otherwise it rolls back and the cycle resumes the next Sunday.</w:t>
      </w:r>
    </w:p>
    <w:p>
      <w:pPr>
        <w:spacing w:after="120" w:before="80" w:line="320"/>
      </w:pPr>
      <w:r>
        <w:rPr>
          <w:rFonts w:ascii="Arial" w:cs="Arial" w:eastAsia="Arial" w:hAnsi="Arial"/>
          <w:color w:val="1A1A1A"/>
          <w:sz w:val="22"/>
          <w:szCs w:val="22"/>
        </w:rPr>
        <w:t xml:space="preserve">This cadence keeps the registry current with model releases (which typically ship on weeks-to-months cadence) without injecting noise from continuous benchmarking. New flagship models from Anthropic, OpenAI, Google ship roughly every six to twelve weeks; the weekly cycle catches each within seven days.</w:t>
      </w:r>
    </w:p>
    <w:p>
      <w:pPr>
        <w:pStyle w:val="Heading3"/>
        <w:spacing w:after="100" w:before="280"/>
      </w:pPr>
      <w:r>
        <w:rPr>
          <w:rFonts w:ascii="Arial" w:cs="Arial" w:eastAsia="Arial" w:hAnsi="Arial"/>
          <w:b/>
          <w:bCs/>
          <w:color w:val="1A1A1A"/>
          <w:sz w:val="23"/>
          <w:szCs w:val="23"/>
        </w:rPr>
        <w:t xml:space="preserve">7.1.9 The model registry as a data product</w:t>
      </w:r>
    </w:p>
    <w:p>
      <w:pPr>
        <w:spacing w:after="120" w:before="80" w:line="320"/>
      </w:pPr>
      <w:r>
        <w:rPr>
          <w:rFonts w:ascii="Arial" w:cs="Arial" w:eastAsia="Arial" w:hAnsi="Arial"/>
          <w:color w:val="1A1A1A"/>
          <w:sz w:val="22"/>
          <w:szCs w:val="22"/>
        </w:rPr>
        <w:t xml:space="preserve">The registry is itself a small but valuable data product. Internal admin views show the current registry, recent changes, validation scores per slot, and candidates under evaluation. Operators can simulate routing decisions ("what would route for a Premium customer asking a strategic question in Tamil right now") to validate behaviour. Audit logs capture every registry change with operator and rationale.</w:t>
      </w:r>
    </w:p>
    <w:p>
      <w:pPr>
        <w:pStyle w:val="Heading2"/>
        <w:spacing w:after="140" w:before="360"/>
      </w:pPr>
      <w:r>
        <w:rPr>
          <w:rFonts w:ascii="Arial" w:cs="Arial" w:eastAsia="Arial" w:hAnsi="Arial"/>
          <w:b/>
          <w:bCs/>
          <w:color w:val="1A1A1A"/>
          <w:sz w:val="28"/>
          <w:szCs w:val="28"/>
        </w:rPr>
        <w:t xml:space="preserve">7.2 The Performance Service</w:t>
      </w:r>
    </w:p>
    <w:p>
      <w:pPr>
        <w:spacing w:after="120" w:before="80" w:line="320"/>
      </w:pPr>
      <w:r>
        <w:rPr>
          <w:rFonts w:ascii="Arial" w:cs="Arial" w:eastAsia="Arial" w:hAnsi="Arial"/>
          <w:color w:val="1A1A1A"/>
          <w:sz w:val="22"/>
          <w:szCs w:val="22"/>
        </w:rPr>
        <w:t xml:space="preserve">The Performance Service is the engine of continuous improvement. Per the resolution of Concern 8, it is a committed continuous line item with a small expert team (AI Quality Lead, Evaluation Engineer, fractional native reviewers, Annotation Operations Lead) and aggressive automation that does roughly 80% of the work.</w:t>
      </w:r>
    </w:p>
    <w:p>
      <w:pPr>
        <w:pStyle w:val="Heading3"/>
        <w:spacing w:after="100" w:before="280"/>
      </w:pPr>
      <w:r>
        <w:rPr>
          <w:rFonts w:ascii="Arial" w:cs="Arial" w:eastAsia="Arial" w:hAnsi="Arial"/>
          <w:b/>
          <w:bCs/>
          <w:color w:val="1A1A1A"/>
          <w:sz w:val="23"/>
          <w:szCs w:val="23"/>
        </w:rPr>
        <w:t xml:space="preserve">7.2.1 The six quality signals</w:t>
      </w:r>
    </w:p>
    <w:p>
      <w:pPr>
        <w:spacing w:after="120" w:before="80" w:line="320"/>
      </w:pPr>
      <w:r>
        <w:rPr>
          <w:rFonts w:ascii="Arial" w:cs="Arial" w:eastAsia="Arial" w:hAnsi="Arial"/>
          <w:color w:val="1A1A1A"/>
          <w:sz w:val="22"/>
          <w:szCs w:val="22"/>
        </w:rPr>
        <w:t xml:space="preserve">Every agent contribution accumulates scores from six signal sources. The signals have different latencies and reliability characteristics; combined, they produce a robust quality estimate.</w:t>
      </w:r>
    </w:p>
    <w:p>
      <w:pPr>
        <w:pStyle w:val="Heading3"/>
        <w:spacing w:after="100" w:before="280"/>
      </w:pPr>
      <w:r>
        <w:rPr>
          <w:rFonts w:ascii="Arial" w:cs="Arial" w:eastAsia="Arial" w:hAnsi="Arial"/>
          <w:b/>
          <w:bCs/>
          <w:color w:val="1A1A1A"/>
          <w:sz w:val="23"/>
          <w:szCs w:val="23"/>
        </w:rPr>
        <w:t xml:space="preserve">7.2.2 The evaluation event store</w:t>
      </w:r>
    </w:p>
    <w:p>
      <w:pPr>
        <w:spacing w:after="120" w:before="80" w:line="320"/>
      </w:pPr>
      <w:r>
        <w:rPr>
          <w:rFonts w:ascii="Arial" w:cs="Arial" w:eastAsia="Arial" w:hAnsi="Arial"/>
          <w:color w:val="1A1A1A"/>
          <w:sz w:val="22"/>
          <w:szCs w:val="22"/>
        </w:rPr>
        <w:t xml:space="preserve">Every signal generates an evaluation_event row in the Performance Service’s data store. Schema in Section 4.3.8. Events are tagged with: source (agent_definition_id and version, contribution_id), context (domain, language, customer_tier, task_type, provider_model), signal_type, score (-1 to +1), weight (function of reliability), recorded_at.</w:t>
      </w:r>
    </w:p>
    <w:p>
      <w:pPr>
        <w:spacing w:after="120" w:before="80" w:line="320"/>
      </w:pPr>
      <w:r>
        <w:rPr>
          <w:rFonts w:ascii="Arial" w:cs="Arial" w:eastAsia="Arial" w:hAnsi="Arial"/>
          <w:color w:val="1A1A1A"/>
          <w:sz w:val="22"/>
          <w:szCs w:val="22"/>
        </w:rPr>
        <w:t xml:space="preserve">Aggregation runs daily: events are rolled up into agent_performance_aggregates per (agent_definition_id, version, domain, language, period). Rolling windows of 7, 30, and 90 days are maintained.</w:t>
      </w:r>
    </w:p>
    <w:p>
      <w:pPr>
        <w:pStyle w:val="Heading3"/>
        <w:spacing w:after="100" w:before="280"/>
      </w:pPr>
      <w:r>
        <w:rPr>
          <w:rFonts w:ascii="Arial" w:cs="Arial" w:eastAsia="Arial" w:hAnsi="Arial"/>
          <w:b/>
          <w:bCs/>
          <w:color w:val="1A1A1A"/>
          <w:sz w:val="23"/>
          <w:szCs w:val="23"/>
        </w:rPr>
        <w:t xml:space="preserve">7.2.3 Pattern detection</w:t>
      </w:r>
    </w:p>
    <w:p>
      <w:pPr>
        <w:spacing w:after="120" w:before="80" w:line="320"/>
      </w:pPr>
      <w:r>
        <w:rPr>
          <w:rFonts w:ascii="Arial" w:cs="Arial" w:eastAsia="Arial" w:hAnsi="Arial"/>
          <w:color w:val="1A1A1A"/>
          <w:sz w:val="22"/>
          <w:szCs w:val="22"/>
        </w:rPr>
        <w:t xml:space="preserve">Automated pattern detection runs continuously over the aggregates. Patterns are pre-defined queries plus anomaly detection. Examples:</w:t>
      </w:r>
    </w:p>
    <w:p>
      <w:pPr>
        <w:spacing w:after="120" w:before="80" w:line="320"/>
      </w:pPr>
      <w:r>
        <w:rPr>
          <w:rFonts w:ascii="Arial" w:cs="Arial" w:eastAsia="Arial" w:hAnsi="Arial"/>
          <w:color w:val="1A1A1A"/>
          <w:sz w:val="22"/>
          <w:szCs w:val="22"/>
        </w:rPr>
        <w:t xml:space="preserve">Quality drift: agent X’s domain Y score has dropped more than 0.1 over the last 14 days. Flag for review.</w:t>
      </w:r>
    </w:p>
    <w:p>
      <w:pPr>
        <w:spacing w:after="120" w:before="80" w:line="320"/>
      </w:pPr>
      <w:r>
        <w:rPr>
          <w:rFonts w:ascii="Arial" w:cs="Arial" w:eastAsia="Arial" w:hAnsi="Arial"/>
          <w:color w:val="1A1A1A"/>
          <w:sz w:val="22"/>
          <w:szCs w:val="22"/>
        </w:rPr>
        <w:t xml:space="preserve">Language disparity: agent X scores well in English but consistently underperforms in Tamil. Flag for native reviewer attention.</w:t>
      </w:r>
    </w:p>
    <w:p>
      <w:pPr>
        <w:spacing w:after="120" w:before="80" w:line="320"/>
      </w:pPr>
      <w:r>
        <w:rPr>
          <w:rFonts w:ascii="Arial" w:cs="Arial" w:eastAsia="Arial" w:hAnsi="Arial"/>
          <w:color w:val="1A1A1A"/>
          <w:sz w:val="22"/>
          <w:szCs w:val="22"/>
        </w:rPr>
        <w:t xml:space="preserve">Provider quality drop: provider P’s scores across tasks have dropped, possibly indicating a model regression on their side. Flag for routing reassessment.</w:t>
      </w:r>
    </w:p>
    <w:p>
      <w:pPr>
        <w:spacing w:after="120" w:before="80" w:line="320"/>
      </w:pPr>
      <w:r>
        <w:rPr>
          <w:rFonts w:ascii="Arial" w:cs="Arial" w:eastAsia="Arial" w:hAnsi="Arial"/>
          <w:color w:val="1A1A1A"/>
          <w:sz w:val="22"/>
          <w:szCs w:val="22"/>
        </w:rPr>
        <w:t xml:space="preserve">Override correlation: an agent’s overrides correlate with marketplace bookings beyond chance. Flag for engineering-revenue insulation review (visible to AI Quality Lead, not to prompt-tuning team).</w:t>
      </w:r>
    </w:p>
    <w:p>
      <w:pPr>
        <w:spacing w:after="120" w:before="80" w:line="320"/>
      </w:pPr>
      <w:r>
        <w:rPr>
          <w:rFonts w:ascii="Arial" w:cs="Arial" w:eastAsia="Arial" w:hAnsi="Arial"/>
          <w:color w:val="1A1A1A"/>
          <w:sz w:val="22"/>
          <w:szCs w:val="22"/>
        </w:rPr>
        <w:t xml:space="preserve">Conviction miscalibration: agents at "decisively supported" are being overruled more often than expected. Recalibrate downward.</w:t>
      </w:r>
    </w:p>
    <w:p>
      <w:pPr>
        <w:spacing w:after="120" w:before="80" w:line="320"/>
      </w:pPr>
      <w:r>
        <w:rPr>
          <w:rFonts w:ascii="Arial" w:cs="Arial" w:eastAsia="Arial" w:hAnsi="Arial"/>
          <w:color w:val="1A1A1A"/>
          <w:sz w:val="22"/>
          <w:szCs w:val="22"/>
        </w:rPr>
        <w:t xml:space="preserve">When a pattern fires, the system creates an investigation item with the supporting evidence pre-attached. The AI Quality Lead reviews and decides on action.</w:t>
      </w:r>
    </w:p>
    <w:p>
      <w:pPr>
        <w:pStyle w:val="Heading3"/>
        <w:spacing w:after="100" w:before="280"/>
      </w:pPr>
      <w:r>
        <w:rPr>
          <w:rFonts w:ascii="Arial" w:cs="Arial" w:eastAsia="Arial" w:hAnsi="Arial"/>
          <w:b/>
          <w:bCs/>
          <w:color w:val="1A1A1A"/>
          <w:sz w:val="23"/>
          <w:szCs w:val="23"/>
        </w:rPr>
        <w:t xml:space="preserve">7.2.4 The evaluation harness</w:t>
      </w:r>
    </w:p>
    <w:p>
      <w:pPr>
        <w:spacing w:after="120" w:before="80" w:line="320"/>
      </w:pPr>
      <w:r>
        <w:rPr>
          <w:rFonts w:ascii="Arial" w:cs="Arial" w:eastAsia="Arial" w:hAnsi="Arial"/>
          <w:color w:val="1A1A1A"/>
          <w:sz w:val="22"/>
          <w:szCs w:val="22"/>
        </w:rPr>
        <w:t xml:space="preserve">The harness is the test infrastructure that validates agent performance against known-good answers. Per-language native test sets are the gold standard.</w:t>
      </w:r>
    </w:p>
    <w:p>
      <w:pPr>
        <w:spacing w:after="120" w:before="80" w:line="320"/>
      </w:pPr>
      <w:r>
        <w:rPr>
          <w:rFonts w:ascii="Arial" w:cs="Arial" w:eastAsia="Arial" w:hAnsi="Arial"/>
          <w:color w:val="1A1A1A"/>
          <w:sz w:val="22"/>
          <w:szCs w:val="22"/>
        </w:rPr>
        <w:t xml:space="preserve">Test sets per language at launch (English, Tamil, Hindi): 1000+ cases each, growing. Each case has a question (in the source language), context, expected answer characteristics (key facts that must appear, dispositions the agent must take, hedging that must be present). Cases are authored by native domain experts — the founding team for launch languages, fractional native reviewers for future languages.</w:t>
      </w:r>
    </w:p>
    <w:p>
      <w:pPr>
        <w:spacing w:after="120" w:before="80" w:line="320"/>
      </w:pPr>
      <w:r>
        <w:rPr>
          <w:rFonts w:ascii="Arial" w:cs="Arial" w:eastAsia="Arial" w:hAnsi="Arial"/>
          <w:color w:val="1A1A1A"/>
          <w:sz w:val="22"/>
          <w:szCs w:val="22"/>
        </w:rPr>
        <w:t xml:space="preserve">The harness runs proposed prompt changes against the historical test set before deployment. Regressions are detected automatically. Pass thresholds are tier-dependent.</w:t>
      </w:r>
    </w:p>
    <w:p>
      <w:pPr>
        <w:pStyle w:val="Heading3"/>
        <w:spacing w:after="100" w:before="280"/>
      </w:pPr>
      <w:r>
        <w:rPr>
          <w:rFonts w:ascii="Arial" w:cs="Arial" w:eastAsia="Arial" w:hAnsi="Arial"/>
          <w:b/>
          <w:bCs/>
          <w:color w:val="1A1A1A"/>
          <w:sz w:val="23"/>
          <w:szCs w:val="23"/>
        </w:rPr>
        <w:t xml:space="preserve">7.2.5 Annotation pipeline</w:t>
      </w:r>
    </w:p>
    <w:p>
      <w:pPr>
        <w:spacing w:after="120" w:before="80" w:line="320"/>
      </w:pPr>
      <w:r>
        <w:rPr>
          <w:rFonts w:ascii="Arial" w:cs="Arial" w:eastAsia="Arial" w:hAnsi="Arial"/>
          <w:color w:val="1A1A1A"/>
          <w:sz w:val="22"/>
          <w:szCs w:val="22"/>
        </w:rPr>
        <w:t xml:space="preserve">Some signals require human annotation: subjective domains, debate quality assessment, expert-agent contradiction nuance. The annotation pipeline:</w:t>
      </w:r>
    </w:p>
    <w:p>
      <w:pPr>
        <w:spacing w:after="120" w:before="80" w:line="320"/>
      </w:pPr>
      <w:r>
        <w:rPr>
          <w:rFonts w:ascii="Arial" w:cs="Arial" w:eastAsia="Arial" w:hAnsi="Arial"/>
          <w:color w:val="1A1A1A"/>
          <w:sz w:val="22"/>
          <w:szCs w:val="22"/>
        </w:rPr>
        <w:t xml:space="preserve">Candidate selection: the system selects events where automated signals are ambiguous, or where a flagged pattern needs human verification. Selection prioritises high-impact cases.</w:t>
      </w:r>
    </w:p>
    <w:p>
      <w:pPr>
        <w:spacing w:after="120" w:before="80" w:line="320"/>
      </w:pPr>
      <w:r>
        <w:rPr>
          <w:rFonts w:ascii="Arial" w:cs="Arial" w:eastAsia="Arial" w:hAnsi="Arial"/>
          <w:color w:val="1A1A1A"/>
          <w:sz w:val="22"/>
          <w:szCs w:val="22"/>
        </w:rPr>
        <w:t xml:space="preserve">Queue assignment: candidates go to language-specific annotation queues. Native reviewers pull from their queues.</w:t>
      </w:r>
    </w:p>
    <w:p>
      <w:pPr>
        <w:spacing w:after="120" w:before="80" w:line="320"/>
      </w:pPr>
      <w:r>
        <w:rPr>
          <w:rFonts w:ascii="Arial" w:cs="Arial" w:eastAsia="Arial" w:hAnsi="Arial"/>
          <w:color w:val="1A1A1A"/>
          <w:sz w:val="22"/>
          <w:szCs w:val="22"/>
        </w:rPr>
        <w:t xml:space="preserve">Annotation: reviewer marks the contribution as good/bad/mixed with structured reasons. Inter-annotator agreement is tracked.</w:t>
      </w:r>
    </w:p>
    <w:p>
      <w:pPr>
        <w:spacing w:after="120" w:before="80" w:line="320"/>
      </w:pPr>
      <w:r>
        <w:rPr>
          <w:rFonts w:ascii="Arial" w:cs="Arial" w:eastAsia="Arial" w:hAnsi="Arial"/>
          <w:color w:val="1A1A1A"/>
          <w:sz w:val="22"/>
          <w:szCs w:val="22"/>
        </w:rPr>
        <w:t xml:space="preserve">Feedback into evaluation: annotated events are weighted higher in aggregates. They also feed test set growth.</w:t>
      </w:r>
    </w:p>
    <w:p>
      <w:pPr>
        <w:spacing w:after="120" w:before="80" w:line="320"/>
      </w:pPr>
      <w:r>
        <w:rPr>
          <w:rFonts w:ascii="Arial" w:cs="Arial" w:eastAsia="Arial" w:hAnsi="Arial"/>
          <w:color w:val="1A1A1A"/>
          <w:sz w:val="22"/>
          <w:szCs w:val="22"/>
        </w:rPr>
        <w:t xml:space="preserve">Annotation Operations Lead manages the queue, onboards and quality-controls fractional reviewers, ensures inter-annotator agreement is healthy.</w:t>
      </w:r>
    </w:p>
    <w:p>
      <w:pPr>
        <w:pStyle w:val="Heading2"/>
        <w:spacing w:after="140" w:before="360"/>
      </w:pPr>
      <w:r>
        <w:rPr>
          <w:rFonts w:ascii="Arial" w:cs="Arial" w:eastAsia="Arial" w:hAnsi="Arial"/>
          <w:b/>
          <w:bCs/>
          <w:color w:val="1A1A1A"/>
          <w:sz w:val="28"/>
          <w:szCs w:val="28"/>
        </w:rPr>
        <w:t xml:space="preserve">7.3 The deployment discipline</w:t>
      </w:r>
    </w:p>
    <w:p>
      <w:pPr>
        <w:spacing w:after="120" w:before="80" w:line="320"/>
      </w:pPr>
      <w:r>
        <w:rPr>
          <w:rFonts w:ascii="Arial" w:cs="Arial" w:eastAsia="Arial" w:hAnsi="Arial"/>
          <w:color w:val="1A1A1A"/>
          <w:sz w:val="22"/>
          <w:szCs w:val="22"/>
        </w:rPr>
        <w:t xml:space="preserve">Production prompts are not edited directly. Every change goes through a formal pipeline. This is software-style discipline applied to prompt engineering.</w:t>
      </w:r>
    </w:p>
    <w:p>
      <w:pPr>
        <w:pStyle w:val="Heading3"/>
        <w:spacing w:after="100" w:before="280"/>
      </w:pPr>
      <w:r>
        <w:rPr>
          <w:rFonts w:ascii="Arial" w:cs="Arial" w:eastAsia="Arial" w:hAnsi="Arial"/>
          <w:b/>
          <w:bCs/>
          <w:color w:val="1A1A1A"/>
          <w:sz w:val="23"/>
          <w:szCs w:val="23"/>
        </w:rPr>
        <w:t xml:space="preserve">7.3.1 Stages</w:t>
      </w:r>
    </w:p>
    <w:p>
      <w:pPr>
        <w:spacing w:after="120" w:before="80" w:line="320"/>
      </w:pPr>
      <w:r>
        <w:rPr>
          <w:rFonts w:ascii="Arial" w:cs="Arial" w:eastAsia="Arial" w:hAnsi="Arial"/>
          <w:color w:val="1A1A1A"/>
          <w:sz w:val="22"/>
          <w:szCs w:val="22"/>
        </w:rPr>
        <w:t xml:space="preserve">Proposal: a prompt change is drafted. Often AI-assisted: an internal tool proposes changes that would address detected patterns, with reasoning. The AI Quality Lead refines.</w:t>
      </w:r>
    </w:p>
    <w:p>
      <w:pPr>
        <w:spacing w:after="120" w:before="80" w:line="320"/>
      </w:pPr>
      <w:r>
        <w:rPr>
          <w:rFonts w:ascii="Arial" w:cs="Arial" w:eastAsia="Arial" w:hAnsi="Arial"/>
          <w:color w:val="1A1A1A"/>
          <w:sz w:val="22"/>
          <w:szCs w:val="22"/>
        </w:rPr>
        <w:t xml:space="preserve">Validation: the proposed change is validated against the historical test set. Regressions block. Improvements are quantified.</w:t>
      </w:r>
    </w:p>
    <w:p>
      <w:pPr>
        <w:spacing w:after="120" w:before="80" w:line="320"/>
      </w:pPr>
      <w:r>
        <w:rPr>
          <w:rFonts w:ascii="Arial" w:cs="Arial" w:eastAsia="Arial" w:hAnsi="Arial"/>
          <w:color w:val="1A1A1A"/>
          <w:sz w:val="22"/>
          <w:szCs w:val="22"/>
        </w:rPr>
        <w:t xml:space="preserve">Approval: the AI Quality Lead approves. The change is recorded in prompt_change_proposals.</w:t>
      </w:r>
    </w:p>
    <w:p>
      <w:pPr>
        <w:spacing w:after="120" w:before="80" w:line="320"/>
      </w:pPr>
      <w:r>
        <w:rPr>
          <w:rFonts w:ascii="Arial" w:cs="Arial" w:eastAsia="Arial" w:hAnsi="Arial"/>
          <w:color w:val="1A1A1A"/>
          <w:sz w:val="22"/>
          <w:szCs w:val="22"/>
        </w:rPr>
        <w:t xml:space="preserve">Canary: the change deploys to a small slice of relevant traffic (e.g., 5% of CFO contributions for English-language Premium customers). Quality signals are monitored in real time.</w:t>
      </w:r>
    </w:p>
    <w:p>
      <w:pPr>
        <w:spacing w:after="120" w:before="80" w:line="320"/>
      </w:pPr>
      <w:r>
        <w:rPr>
          <w:rFonts w:ascii="Arial" w:cs="Arial" w:eastAsia="Arial" w:hAnsi="Arial"/>
          <w:color w:val="1A1A1A"/>
          <w:sz w:val="22"/>
          <w:szCs w:val="22"/>
        </w:rPr>
        <w:t xml:space="preserve">Monitor: a defined monitoring window (typically 24-72 hours depending on traffic). If signals stay healthy, proceed. If signals degrade, automatic rollback.</w:t>
      </w:r>
    </w:p>
    <w:p>
      <w:pPr>
        <w:spacing w:after="120" w:before="80" w:line="320"/>
      </w:pPr>
      <w:r>
        <w:rPr>
          <w:rFonts w:ascii="Arial" w:cs="Arial" w:eastAsia="Arial" w:hAnsi="Arial"/>
          <w:color w:val="1A1A1A"/>
          <w:sz w:val="22"/>
          <w:szCs w:val="22"/>
        </w:rPr>
        <w:t xml:space="preserve">Rollout: full deployment. The change becomes the active version. The previous version is archived but reachable for comparison.</w:t>
      </w:r>
    </w:p>
    <w:p>
      <w:pPr>
        <w:spacing w:after="120" w:before="80" w:line="320"/>
      </w:pPr>
      <w:r>
        <w:rPr>
          <w:rFonts w:ascii="Arial" w:cs="Arial" w:eastAsia="Arial" w:hAnsi="Arial"/>
          <w:color w:val="1A1A1A"/>
          <w:sz w:val="22"/>
          <w:szCs w:val="22"/>
        </w:rPr>
        <w:t xml:space="preserve">At each stage, the change can be rolled back to the previous version with one click. The rollback path is the same as the rollout path; nothing about a deployed change is irreversible.</w:t>
      </w:r>
    </w:p>
    <w:p>
      <w:pPr>
        <w:pStyle w:val="Heading2"/>
        <w:spacing w:after="140" w:before="360"/>
      </w:pPr>
      <w:r>
        <w:rPr>
          <w:rFonts w:ascii="Arial" w:cs="Arial" w:eastAsia="Arial" w:hAnsi="Arial"/>
          <w:b/>
          <w:bCs/>
          <w:color w:val="1A1A1A"/>
          <w:sz w:val="28"/>
          <w:szCs w:val="28"/>
        </w:rPr>
        <w:t xml:space="preserve">7.4 The learning loop</w:t>
      </w:r>
    </w:p>
    <w:p>
      <w:pPr>
        <w:spacing w:after="120" w:before="80" w:line="320"/>
      </w:pPr>
      <w:r>
        <w:rPr>
          <w:rFonts w:ascii="Arial" w:cs="Arial" w:eastAsia="Arial" w:hAnsi="Arial"/>
          <w:color w:val="1A1A1A"/>
          <w:sz w:val="22"/>
          <w:szCs w:val="22"/>
        </w:rPr>
        <w:t xml:space="preserve">The learning loop is the platform’s long-term moat. It runs continuously across daily, weekly, monthly, and quarterly cycles, with automation handling the bulk of the work and the small expert team owning the judgement.</w:t>
      </w:r>
    </w:p>
    <w:p>
      <w:pPr>
        <w:pStyle w:val="Heading3"/>
        <w:spacing w:after="100" w:before="280"/>
      </w:pPr>
      <w:r>
        <w:rPr>
          <w:rFonts w:ascii="Arial" w:cs="Arial" w:eastAsia="Arial" w:hAnsi="Arial"/>
          <w:b/>
          <w:bCs/>
          <w:color w:val="1A1A1A"/>
          <w:sz w:val="23"/>
          <w:szCs w:val="23"/>
        </w:rPr>
        <w:t xml:space="preserve">7.4.1 Daily</w:t>
      </w:r>
    </w:p>
    <w:p>
      <w:pPr>
        <w:spacing w:after="120" w:before="80" w:line="320"/>
      </w:pPr>
      <w:r>
        <w:rPr>
          <w:rFonts w:ascii="Arial" w:cs="Arial" w:eastAsia="Arial" w:hAnsi="Arial"/>
          <w:color w:val="1A1A1A"/>
          <w:sz w:val="22"/>
          <w:szCs w:val="22"/>
        </w:rPr>
        <w:t xml:space="preserve">Production traffic continuously generates evaluation events. Patterns are detected automatically. The AI Quality Lead reviews the day’s queue: typically a handful of investigation items requiring 30-60 minutes total. Approved prompt changes go to canary.</w:t>
      </w:r>
    </w:p>
    <w:p>
      <w:pPr>
        <w:pStyle w:val="Heading3"/>
        <w:spacing w:after="100" w:before="280"/>
      </w:pPr>
      <w:r>
        <w:rPr>
          <w:rFonts w:ascii="Arial" w:cs="Arial" w:eastAsia="Arial" w:hAnsi="Arial"/>
          <w:b/>
          <w:bCs/>
          <w:color w:val="1A1A1A"/>
          <w:sz w:val="23"/>
          <w:szCs w:val="23"/>
        </w:rPr>
        <w:t xml:space="preserve">7.4.2 Weekly</w:t>
      </w:r>
    </w:p>
    <w:p>
      <w:pPr>
        <w:spacing w:after="120" w:before="80" w:line="320"/>
      </w:pPr>
      <w:r>
        <w:rPr>
          <w:rFonts w:ascii="Arial" w:cs="Arial" w:eastAsia="Arial" w:hAnsi="Arial"/>
          <w:color w:val="1A1A1A"/>
          <w:sz w:val="22"/>
          <w:szCs w:val="22"/>
        </w:rPr>
        <w:t xml:space="preserve">The weekly evaluation cycle (Section 7.1.8) runs. The AI Quality Lead reviews the registry update proposal. Approved changes hit canary; rejected changes are noted. Annotation queues are reviewed; new annotations feed test sets.</w:t>
      </w:r>
    </w:p>
    <w:p>
      <w:pPr>
        <w:pStyle w:val="Heading3"/>
        <w:spacing w:after="100" w:before="280"/>
      </w:pPr>
      <w:r>
        <w:rPr>
          <w:rFonts w:ascii="Arial" w:cs="Arial" w:eastAsia="Arial" w:hAnsi="Arial"/>
          <w:b/>
          <w:bCs/>
          <w:color w:val="1A1A1A"/>
          <w:sz w:val="23"/>
          <w:szCs w:val="23"/>
        </w:rPr>
        <w:t xml:space="preserve">7.4.3 Monthly</w:t>
      </w:r>
    </w:p>
    <w:p>
      <w:pPr>
        <w:spacing w:after="120" w:before="80" w:line="320"/>
      </w:pPr>
      <w:r>
        <w:rPr>
          <w:rFonts w:ascii="Arial" w:cs="Arial" w:eastAsia="Arial" w:hAnsi="Arial"/>
          <w:color w:val="1A1A1A"/>
          <w:sz w:val="22"/>
          <w:szCs w:val="22"/>
        </w:rPr>
        <w:t xml:space="preserve">Per-language quality reviews against test sets. The native reviewers participate. Performance trends per tenant cohort are reviewed. Competence models for all production agents are recomputed against accumulated outcome data; large gaps between authored and measured competence trigger review.</w:t>
      </w:r>
    </w:p>
    <w:p>
      <w:pPr>
        <w:pStyle w:val="Heading3"/>
        <w:spacing w:after="100" w:before="280"/>
      </w:pPr>
      <w:r>
        <w:rPr>
          <w:rFonts w:ascii="Arial" w:cs="Arial" w:eastAsia="Arial" w:hAnsi="Arial"/>
          <w:b/>
          <w:bCs/>
          <w:color w:val="1A1A1A"/>
          <w:sz w:val="23"/>
          <w:szCs w:val="23"/>
        </w:rPr>
        <w:t xml:space="preserve">7.4.4 Quarterly</w:t>
      </w:r>
    </w:p>
    <w:p>
      <w:pPr>
        <w:spacing w:after="120" w:before="80" w:line="320"/>
      </w:pPr>
      <w:r>
        <w:rPr>
          <w:rFonts w:ascii="Arial" w:cs="Arial" w:eastAsia="Arial" w:hAnsi="Arial"/>
          <w:color w:val="1A1A1A"/>
          <w:sz w:val="22"/>
          <w:szCs w:val="22"/>
        </w:rPr>
        <w:t xml:space="preserve">Major persona revisions if warranted. Test set expansion based on real founder questions current sets do not cover. Vendor relationship reviews. Calibration of trust tier thresholds for the marketplace. The team retrospects on what is working and what is not.</w:t>
      </w:r>
    </w:p>
    <w:p>
      <w:pPr>
        <w:pStyle w:val="Heading2"/>
        <w:spacing w:after="140" w:before="360"/>
      </w:pPr>
      <w:r>
        <w:rPr>
          <w:rFonts w:ascii="Arial" w:cs="Arial" w:eastAsia="Arial" w:hAnsi="Arial"/>
          <w:b/>
          <w:bCs/>
          <w:color w:val="1A1A1A"/>
          <w:sz w:val="28"/>
          <w:szCs w:val="28"/>
        </w:rPr>
        <w:t xml:space="preserve">7.5 What this layer locks</w:t>
      </w:r>
    </w:p>
    <w:p>
      <w:pPr>
        <w:spacing w:after="120" w:before="80" w:line="320"/>
      </w:pPr>
      <w:r>
        <w:rPr>
          <w:rFonts w:ascii="Arial" w:cs="Arial" w:eastAsia="Arial" w:hAnsi="Arial"/>
          <w:color w:val="1A1A1A"/>
          <w:sz w:val="22"/>
          <w:szCs w:val="22"/>
        </w:rPr>
        <w:t xml:space="preserve">Bounded provider set with deliberate strategic decisions on inclusion</w:t>
      </w:r>
    </w:p>
    <w:p>
      <w:pPr>
        <w:spacing w:after="120" w:before="80" w:line="320"/>
      </w:pPr>
      <w:r>
        <w:rPr>
          <w:rFonts w:ascii="Arial" w:cs="Arial" w:eastAsia="Arial" w:hAnsi="Arial"/>
          <w:color w:val="1A1A1A"/>
          <w:sz w:val="22"/>
          <w:szCs w:val="22"/>
        </w:rPr>
        <w:t xml:space="preserve">Four-tier classification per language stored in a registry</w:t>
      </w:r>
    </w:p>
    <w:p>
      <w:pPr>
        <w:spacing w:after="120" w:before="80" w:line="320"/>
      </w:pPr>
      <w:r>
        <w:rPr>
          <w:rFonts w:ascii="Arial" w:cs="Arial" w:eastAsia="Arial" w:hAnsi="Arial"/>
          <w:color w:val="1A1A1A"/>
          <w:sz w:val="22"/>
          <w:szCs w:val="22"/>
        </w:rPr>
        <w:t xml:space="preserve">Customer-tier driven routing decisions through a policy layer that is data, not code</w:t>
      </w:r>
    </w:p>
    <w:p>
      <w:pPr>
        <w:spacing w:after="120" w:before="80" w:line="320"/>
      </w:pPr>
      <w:r>
        <w:rPr>
          <w:rFonts w:ascii="Arial" w:cs="Arial" w:eastAsia="Arial" w:hAnsi="Arial"/>
          <w:color w:val="1A1A1A"/>
          <w:sz w:val="22"/>
          <w:szCs w:val="22"/>
        </w:rPr>
        <w:t xml:space="preserve">75/25 quality-cost optimisation with explicit floors per task type</w:t>
      </w:r>
    </w:p>
    <w:p>
      <w:pPr>
        <w:spacing w:after="120" w:before="80" w:line="320"/>
      </w:pPr>
      <w:r>
        <w:rPr>
          <w:rFonts w:ascii="Arial" w:cs="Arial" w:eastAsia="Arial" w:hAnsi="Arial"/>
          <w:color w:val="1A1A1A"/>
          <w:sz w:val="22"/>
          <w:szCs w:val="22"/>
        </w:rPr>
        <w:t xml:space="preserve">Per-tenant overrides for compliance and voluntary preferences</w:t>
      </w:r>
    </w:p>
    <w:p>
      <w:pPr>
        <w:spacing w:after="120" w:before="80" w:line="320"/>
      </w:pPr>
      <w:r>
        <w:rPr>
          <w:rFonts w:ascii="Arial" w:cs="Arial" w:eastAsia="Arial" w:hAnsi="Arial"/>
          <w:color w:val="1A1A1A"/>
          <w:sz w:val="22"/>
          <w:szCs w:val="22"/>
        </w:rPr>
        <w:t xml:space="preserve">Automatic failover and graceful degradation</w:t>
      </w:r>
    </w:p>
    <w:p>
      <w:pPr>
        <w:spacing w:after="120" w:before="80" w:line="320"/>
      </w:pPr>
      <w:r>
        <w:rPr>
          <w:rFonts w:ascii="Arial" w:cs="Arial" w:eastAsia="Arial" w:hAnsi="Arial"/>
          <w:color w:val="1A1A1A"/>
          <w:sz w:val="22"/>
          <w:szCs w:val="22"/>
        </w:rPr>
        <w:t xml:space="preserve">Weekly evaluation cycle with team review and canary rollout</w:t>
      </w:r>
    </w:p>
    <w:p>
      <w:pPr>
        <w:spacing w:after="120" w:before="80" w:line="320"/>
      </w:pPr>
      <w:r>
        <w:rPr>
          <w:rFonts w:ascii="Arial" w:cs="Arial" w:eastAsia="Arial" w:hAnsi="Arial"/>
          <w:color w:val="1A1A1A"/>
          <w:sz w:val="22"/>
          <w:szCs w:val="22"/>
        </w:rPr>
        <w:t xml:space="preserve">Six-signal performance measurement across factual grounding, peer, expert, founder action, outcome, pushback</w:t>
      </w:r>
    </w:p>
    <w:p>
      <w:pPr>
        <w:spacing w:after="120" w:before="80" w:line="320"/>
      </w:pPr>
      <w:r>
        <w:rPr>
          <w:rFonts w:ascii="Arial" w:cs="Arial" w:eastAsia="Arial" w:hAnsi="Arial"/>
          <w:color w:val="1A1A1A"/>
          <w:sz w:val="22"/>
          <w:szCs w:val="22"/>
        </w:rPr>
        <w:t xml:space="preserve">Automated pattern detection feeding the AI Quality Lead’s investigation queue</w:t>
      </w:r>
    </w:p>
    <w:p>
      <w:pPr>
        <w:spacing w:after="120" w:before="80" w:line="320"/>
      </w:pPr>
      <w:r>
        <w:rPr>
          <w:rFonts w:ascii="Arial" w:cs="Arial" w:eastAsia="Arial" w:hAnsi="Arial"/>
          <w:color w:val="1A1A1A"/>
          <w:sz w:val="22"/>
          <w:szCs w:val="22"/>
        </w:rPr>
        <w:t xml:space="preserve">Per-language test sets authored by native domain experts</w:t>
      </w:r>
    </w:p>
    <w:p>
      <w:pPr>
        <w:spacing w:after="120" w:before="80" w:line="320"/>
      </w:pPr>
      <w:r>
        <w:rPr>
          <w:rFonts w:ascii="Arial" w:cs="Arial" w:eastAsia="Arial" w:hAnsi="Arial"/>
          <w:color w:val="1A1A1A"/>
          <w:sz w:val="22"/>
          <w:szCs w:val="22"/>
        </w:rPr>
        <w:t xml:space="preserve">Annotation pipeline with inter-annotator agreement tracking</w:t>
      </w:r>
    </w:p>
    <w:p>
      <w:pPr>
        <w:spacing w:after="120" w:before="80" w:line="320"/>
      </w:pPr>
      <w:r>
        <w:rPr>
          <w:rFonts w:ascii="Arial" w:cs="Arial" w:eastAsia="Arial" w:hAnsi="Arial"/>
          <w:color w:val="1A1A1A"/>
          <w:sz w:val="22"/>
          <w:szCs w:val="22"/>
        </w:rPr>
        <w:t xml:space="preserve">Test/canary/monitor/rollout discipline for every prompt change</w:t>
      </w:r>
    </w:p>
    <w:p>
      <w:pPr>
        <w:spacing w:after="120" w:before="80" w:line="320"/>
      </w:pPr>
      <w:r>
        <w:rPr>
          <w:rFonts w:ascii="Arial" w:cs="Arial" w:eastAsia="Arial" w:hAnsi="Arial"/>
          <w:color w:val="1A1A1A"/>
          <w:sz w:val="22"/>
          <w:szCs w:val="22"/>
        </w:rPr>
        <w:t xml:space="preserve">Daily/weekly/monthly/quarterly learning loop cycles</w:t>
      </w:r>
    </w:p>
    <w:p>
      <w:pPr>
        <w:pStyle w:val="Heading1"/>
        <w:spacing w:after="200" w:before="480"/>
      </w:pPr>
      <w:r>
        <w:rPr>
          <w:rFonts w:ascii="Arial" w:cs="Arial" w:eastAsia="Arial" w:hAnsi="Arial"/>
          <w:b/>
          <w:bCs/>
          <w:color w:val="4A3FC7"/>
          <w:sz w:val="36"/>
          <w:szCs w:val="36"/>
        </w:rPr>
        <w:t xml:space="preserve">8. Layer 7 — Cross-cutting Concerns</w:t>
      </w:r>
    </w:p>
    <w:p>
      <w:pPr>
        <w:spacing w:after="120" w:before="80" w:line="320"/>
      </w:pPr>
      <w:r>
        <w:rPr>
          <w:rFonts w:ascii="Arial" w:cs="Arial" w:eastAsia="Arial" w:hAnsi="Arial"/>
          <w:color w:val="1A1A1A"/>
          <w:sz w:val="22"/>
          <w:szCs w:val="22"/>
        </w:rPr>
        <w:t xml:space="preserve">The seventh layer covers concerns that thread through every component: tenant isolation enforcement, consent, deletion, encryption, observability, security, compliance trajectory. These are not separable from the rest of the architecture; they are how the rest of the architecture is built.</w:t>
      </w:r>
    </w:p>
    <w:p>
      <w:pPr>
        <w:pStyle w:val="Heading2"/>
        <w:spacing w:after="140" w:before="360"/>
      </w:pPr>
      <w:r>
        <w:rPr>
          <w:rFonts w:ascii="Arial" w:cs="Arial" w:eastAsia="Arial" w:hAnsi="Arial"/>
          <w:b/>
          <w:bCs/>
          <w:color w:val="1A1A1A"/>
          <w:sz w:val="28"/>
          <w:szCs w:val="28"/>
        </w:rPr>
        <w:t xml:space="preserve">8.1 Tenant isolation enforcement</w:t>
      </w:r>
    </w:p>
    <w:p>
      <w:pPr>
        <w:spacing w:after="120" w:before="80" w:line="320"/>
      </w:pPr>
      <w:r>
        <w:rPr>
          <w:rFonts w:ascii="Arial" w:cs="Arial" w:eastAsia="Arial" w:hAnsi="Arial"/>
          <w:color w:val="1A1A1A"/>
          <w:sz w:val="22"/>
          <w:szCs w:val="22"/>
        </w:rPr>
        <w:t xml:space="preserve">Per-organisation namespacing is the first non-negotiable. The architecture makes cross-tenant queries impossible to express, not merely prohibited by policy.</w:t>
      </w:r>
    </w:p>
    <w:p>
      <w:pPr>
        <w:pStyle w:val="Heading3"/>
        <w:spacing w:after="100" w:before="280"/>
      </w:pPr>
      <w:r>
        <w:rPr>
          <w:rFonts w:ascii="Arial" w:cs="Arial" w:eastAsia="Arial" w:hAnsi="Arial"/>
          <w:b/>
          <w:bCs/>
          <w:color w:val="1A1A1A"/>
          <w:sz w:val="23"/>
          <w:szCs w:val="23"/>
        </w:rPr>
        <w:t xml:space="preserve">8.1.1 The four enforcement layers</w:t>
      </w:r>
    </w:p>
    <w:p>
      <w:pPr>
        <w:spacing w:after="120" w:before="80" w:line="320"/>
      </w:pPr>
      <w:r>
        <w:rPr>
          <w:rFonts w:ascii="Arial" w:cs="Arial" w:eastAsia="Arial" w:hAnsi="Arial"/>
          <w:color w:val="1A1A1A"/>
          <w:sz w:val="22"/>
          <w:szCs w:val="22"/>
        </w:rPr>
        <w:t xml:space="preserve">Type system: every internal API takes tenantId as the first parameter. There is no overload that accepts a query without a tenant context.</w:t>
      </w:r>
    </w:p>
    <w:p>
      <w:pPr>
        <w:spacing w:after="120" w:before="80" w:line="320"/>
      </w:pPr>
      <w:r>
        <w:rPr>
          <w:rFonts w:ascii="Arial" w:cs="Arial" w:eastAsia="Arial" w:hAnsi="Arial"/>
          <w:color w:val="1A1A1A"/>
          <w:sz w:val="22"/>
          <w:szCs w:val="22"/>
        </w:rPr>
        <w:t xml:space="preserve">Application layer: the Identity and Tenancy component resolves the tenant context at the start of every authenticated request. The context is propagated through async work via explicit context parameters; no implicit globals.</w:t>
      </w:r>
    </w:p>
    <w:p>
      <w:pPr>
        <w:spacing w:after="120" w:before="80" w:line="320"/>
      </w:pPr>
      <w:r>
        <w:rPr>
          <w:rFonts w:ascii="Arial" w:cs="Arial" w:eastAsia="Arial" w:hAnsi="Arial"/>
          <w:color w:val="1A1A1A"/>
          <w:sz w:val="22"/>
          <w:szCs w:val="22"/>
        </w:rPr>
        <w:t xml:space="preserve">Connection layer: the database connection acquired for a request has its session-level app.tenant_id setting set immediately. All subsequent queries on that connection inherit the context.</w:t>
      </w:r>
    </w:p>
    <w:p>
      <w:pPr>
        <w:spacing w:after="120" w:before="80" w:line="320"/>
      </w:pPr>
      <w:r>
        <w:rPr>
          <w:rFonts w:ascii="Arial" w:cs="Arial" w:eastAsia="Arial" w:hAnsi="Arial"/>
          <w:color w:val="1A1A1A"/>
          <w:sz w:val="22"/>
          <w:szCs w:val="22"/>
        </w:rPr>
        <w:t xml:space="preserve">Database layer: row-level security policies on every tenant-scoped table apply the tenant_id filter unconditionally. A bug above this layer cannot leak data; the database refuses to return rows.</w:t>
      </w:r>
    </w:p>
    <w:p>
      <w:pPr>
        <w:spacing w:after="120" w:before="80" w:line="320"/>
      </w:pPr>
      <w:r>
        <w:rPr>
          <w:rFonts w:ascii="Arial" w:cs="Arial" w:eastAsia="Arial" w:hAnsi="Arial"/>
          <w:color w:val="1A1A1A"/>
          <w:sz w:val="22"/>
          <w:szCs w:val="22"/>
        </w:rPr>
        <w:t xml:space="preserve">The four layers are defence in depth. A bug at any single layer is contained by the others.</w:t>
      </w:r>
    </w:p>
    <w:p>
      <w:pPr>
        <w:pStyle w:val="Heading3"/>
        <w:spacing w:after="100" w:before="280"/>
      </w:pPr>
      <w:r>
        <w:rPr>
          <w:rFonts w:ascii="Arial" w:cs="Arial" w:eastAsia="Arial" w:hAnsi="Arial"/>
          <w:b/>
          <w:bCs/>
          <w:color w:val="1A1A1A"/>
          <w:sz w:val="23"/>
          <w:szCs w:val="23"/>
        </w:rPr>
        <w:t xml:space="preserve">8.1.2 Cross-tenant operations</w:t>
      </w:r>
    </w:p>
    <w:p>
      <w:pPr>
        <w:spacing w:after="120" w:before="80" w:line="320"/>
      </w:pPr>
      <w:r>
        <w:rPr>
          <w:rFonts w:ascii="Arial" w:cs="Arial" w:eastAsia="Arial" w:hAnsi="Arial"/>
          <w:color w:val="1A1A1A"/>
          <w:sz w:val="22"/>
          <w:szCs w:val="22"/>
        </w:rPr>
        <w:t xml:space="preserve">Some legitimate operations cross tenant boundaries: the AI Quality Lead reviewing aggregate performance data, the marketplace ops team viewing expert profiles, the routing layer’s benchmark runs. These operations use a different code path, with explicit elevated privileges, full audit logging, and never include tenant-attributed PII or content. The cross-tenant code path is small, well-reviewed, and clearly distinguished from the tenant-scoped path.</w:t>
      </w:r>
    </w:p>
    <w:p>
      <w:pPr>
        <w:pStyle w:val="Heading2"/>
        <w:spacing w:after="140" w:before="360"/>
      </w:pPr>
      <w:r>
        <w:rPr>
          <w:rFonts w:ascii="Arial" w:cs="Arial" w:eastAsia="Arial" w:hAnsi="Arial"/>
          <w:b/>
          <w:bCs/>
          <w:color w:val="1A1A1A"/>
          <w:sz w:val="28"/>
          <w:szCs w:val="28"/>
        </w:rPr>
        <w:t xml:space="preserve">8.2 Consent capture and audit</w:t>
      </w:r>
    </w:p>
    <w:p>
      <w:pPr>
        <w:spacing w:after="120" w:before="80" w:line="320"/>
      </w:pPr>
      <w:r>
        <w:rPr>
          <w:rFonts w:ascii="Arial" w:cs="Arial" w:eastAsia="Arial" w:hAnsi="Arial"/>
          <w:color w:val="1A1A1A"/>
          <w:sz w:val="22"/>
          <w:szCs w:val="22"/>
        </w:rPr>
        <w:t xml:space="preserve">Consent is captured at every legally and ethically significant interaction:</w:t>
      </w:r>
    </w:p>
    <w:p>
      <w:pPr>
        <w:spacing w:after="120" w:before="80" w:line="320"/>
      </w:pPr>
      <w:r>
        <w:rPr>
          <w:rFonts w:ascii="Arial" w:cs="Arial" w:eastAsia="Arial" w:hAnsi="Arial"/>
          <w:color w:val="1A1A1A"/>
          <w:sz w:val="22"/>
          <w:szCs w:val="22"/>
        </w:rPr>
        <w:t xml:space="preserve">Founder signup: terms of service, privacy policy, AI participation in their meetings, data residency choice (where applicable), training-on-content opt-in (separate, granular).</w:t>
      </w:r>
    </w:p>
    <w:p>
      <w:pPr>
        <w:spacing w:after="120" w:before="80" w:line="320"/>
      </w:pPr>
      <w:r>
        <w:rPr>
          <w:rFonts w:ascii="Arial" w:cs="Arial" w:eastAsia="Arial" w:hAnsi="Arial"/>
          <w:color w:val="1A1A1A"/>
          <w:sz w:val="22"/>
          <w:szCs w:val="22"/>
        </w:rPr>
        <w:t xml:space="preserve">Team member invitation: AI participation in shared meetings, brain access scope.</w:t>
      </w:r>
    </w:p>
    <w:p>
      <w:pPr>
        <w:spacing w:after="120" w:before="80" w:line="320"/>
      </w:pPr>
      <w:r>
        <w:rPr>
          <w:rFonts w:ascii="Arial" w:cs="Arial" w:eastAsia="Arial" w:hAnsi="Arial"/>
          <w:color w:val="1A1A1A"/>
          <w:sz w:val="22"/>
          <w:szCs w:val="22"/>
        </w:rPr>
        <w:t xml:space="preserve">Guest meeting join: AI participation, recording, transcript retention. Captured at the moment of joining, before any audio or text is captured.</w:t>
      </w:r>
    </w:p>
    <w:p>
      <w:pPr>
        <w:spacing w:after="120" w:before="80" w:line="320"/>
      </w:pPr>
      <w:r>
        <w:rPr>
          <w:rFonts w:ascii="Arial" w:cs="Arial" w:eastAsia="Arial" w:hAnsi="Arial"/>
          <w:color w:val="1A1A1A"/>
          <w:sz w:val="22"/>
          <w:szCs w:val="22"/>
        </w:rPr>
        <w:t xml:space="preserve">Human expert onboarding: marketplace terms, brain access during engagements, recording of expert sessions, payout terms.</w:t>
      </w:r>
    </w:p>
    <w:p>
      <w:pPr>
        <w:spacing w:after="120" w:before="80" w:line="320"/>
      </w:pPr>
      <w:r>
        <w:rPr>
          <w:rFonts w:ascii="Arial" w:cs="Arial" w:eastAsia="Arial" w:hAnsi="Arial"/>
          <w:color w:val="1A1A1A"/>
          <w:sz w:val="22"/>
          <w:szCs w:val="22"/>
        </w:rPr>
        <w:t xml:space="preserve">Per-jurisdiction variations: GDPR-specific consent for EU users, CCPA disclosures for California users, India-specific consents under the DPDPA, jurisdiction-specific recording laws.</w:t>
      </w:r>
    </w:p>
    <w:p>
      <w:pPr>
        <w:spacing w:after="120" w:before="80" w:line="320"/>
      </w:pPr>
      <w:r>
        <w:rPr>
          <w:rFonts w:ascii="Arial" w:cs="Arial" w:eastAsia="Arial" w:hAnsi="Arial"/>
          <w:color w:val="1A1A1A"/>
          <w:sz w:val="22"/>
          <w:szCs w:val="22"/>
        </w:rPr>
        <w:t xml:space="preserve">Consent records are stored in the consents table (Section 4.3.10). Each consent has a version of the consent text; changes to terms produce new versions and re-prompts where required by law. Withdrawals are also recorded; downstream effects (e.g., training data exclusion, recording deletion) are processed asynchronously.</w:t>
      </w:r>
    </w:p>
    <w:p>
      <w:pPr>
        <w:pStyle w:val="Heading3"/>
        <w:spacing w:after="100" w:before="280"/>
      </w:pPr>
      <w:r>
        <w:rPr>
          <w:rFonts w:ascii="Arial" w:cs="Arial" w:eastAsia="Arial" w:hAnsi="Arial"/>
          <w:b/>
          <w:bCs/>
          <w:color w:val="1A1A1A"/>
          <w:sz w:val="23"/>
          <w:szCs w:val="23"/>
        </w:rPr>
        <w:t xml:space="preserve">8.2.1 The consent API</w:t>
      </w:r>
    </w:p>
    <w:p>
      <w:pPr>
        <w:spacing w:after="120" w:before="80" w:line="320"/>
      </w:pPr>
      <w:r>
        <w:rPr>
          <w:rFonts w:ascii="Arial" w:cs="Arial" w:eastAsia="Arial" w:hAnsi="Arial"/>
          <w:color w:val="1A1A1A"/>
          <w:sz w:val="22"/>
          <w:szCs w:val="22"/>
        </w:rPr>
        <w:t xml:space="preserve">Components that need consent verification call the consent API: hasConsent(userId, consentType, jurisdiction). The API returns a structured result: granted, denied, expired, or never-asked. Components handle each appropriately. There is no implicit consent; if the API does not return granted, the action does not proceed.</w:t>
      </w:r>
    </w:p>
    <w:p>
      <w:pPr>
        <w:pStyle w:val="Heading3"/>
        <w:spacing w:after="100" w:before="280"/>
      </w:pPr>
      <w:r>
        <w:rPr>
          <w:rFonts w:ascii="Arial" w:cs="Arial" w:eastAsia="Arial" w:hAnsi="Arial"/>
          <w:b/>
          <w:bCs/>
          <w:color w:val="1A1A1A"/>
          <w:sz w:val="23"/>
          <w:szCs w:val="23"/>
        </w:rPr>
        <w:t xml:space="preserve">8.2.2 Audit logs</w:t>
      </w:r>
    </w:p>
    <w:p>
      <w:pPr>
        <w:spacing w:after="120" w:before="80" w:line="320"/>
      </w:pPr>
      <w:r>
        <w:rPr>
          <w:rFonts w:ascii="Arial" w:cs="Arial" w:eastAsia="Arial" w:hAnsi="Arial"/>
          <w:color w:val="1A1A1A"/>
          <w:sz w:val="22"/>
          <w:szCs w:val="22"/>
        </w:rPr>
        <w:t xml:space="preserve">Every consent grant, withdrawal, and reliance is audit-logged. Every action that depends on consent records the consent reference. The audit log is append-only and partitioned by date for performance.</w:t>
      </w:r>
    </w:p>
    <w:p>
      <w:pPr>
        <w:pStyle w:val="Heading2"/>
        <w:spacing w:after="140" w:before="360"/>
      </w:pPr>
      <w:r>
        <w:rPr>
          <w:rFonts w:ascii="Arial" w:cs="Arial" w:eastAsia="Arial" w:hAnsi="Arial"/>
          <w:b/>
          <w:bCs/>
          <w:color w:val="1A1A1A"/>
          <w:sz w:val="28"/>
          <w:szCs w:val="28"/>
        </w:rPr>
        <w:t xml:space="preserve">8.3 Hard deletion</w:t>
      </w:r>
    </w:p>
    <w:p>
      <w:pPr>
        <w:spacing w:after="120" w:before="80" w:line="320"/>
      </w:pPr>
      <w:r>
        <w:rPr>
          <w:rFonts w:ascii="Arial" w:cs="Arial" w:eastAsia="Arial" w:hAnsi="Arial"/>
          <w:color w:val="1A1A1A"/>
          <w:sz w:val="22"/>
          <w:szCs w:val="22"/>
        </w:rPr>
        <w:t xml:space="preserve">Per the Platform Specification, hard deletion is supported across all stores. Soft deletion with a flag is not deletion under GDPR or under our own commitments.</w:t>
      </w:r>
    </w:p>
    <w:p>
      <w:pPr>
        <w:spacing w:after="120" w:before="80" w:line="320"/>
      </w:pPr>
      <w:r>
        <w:rPr>
          <w:rFonts w:ascii="Arial" w:cs="Arial" w:eastAsia="Arial" w:hAnsi="Arial"/>
          <w:color w:val="1A1A1A"/>
          <w:sz w:val="22"/>
          <w:szCs w:val="22"/>
        </w:rPr>
        <w:t xml:space="preserve">The deletion pipeline is in Section 4.9. Architectural commitments here:</w:t>
      </w:r>
    </w:p>
    <w:p>
      <w:pPr>
        <w:spacing w:after="120" w:before="80" w:line="320"/>
      </w:pPr>
      <w:r>
        <w:rPr>
          <w:rFonts w:ascii="Arial" w:cs="Arial" w:eastAsia="Arial" w:hAnsi="Arial"/>
          <w:color w:val="1A1A1A"/>
          <w:sz w:val="22"/>
          <w:szCs w:val="22"/>
        </w:rPr>
        <w:t xml:space="preserve">Deletion is a first-class data product, not an afterthought. The deletion_requests table tracks every request with state and verification.</w:t>
      </w:r>
    </w:p>
    <w:p>
      <w:pPr>
        <w:spacing w:after="120" w:before="80" w:line="320"/>
      </w:pPr>
      <w:r>
        <w:rPr>
          <w:rFonts w:ascii="Arial" w:cs="Arial" w:eastAsia="Arial" w:hAnsi="Arial"/>
          <w:color w:val="1A1A1A"/>
          <w:sz w:val="22"/>
          <w:szCs w:val="22"/>
        </w:rPr>
        <w:t xml:space="preserve">Cross-store consistency is verified before completion. A deletion does not complete until every store confirms purge.</w:t>
      </w:r>
    </w:p>
    <w:p>
      <w:pPr>
        <w:spacing w:after="120" w:before="80" w:line="320"/>
      </w:pPr>
      <w:r>
        <w:rPr>
          <w:rFonts w:ascii="Arial" w:cs="Arial" w:eastAsia="Arial" w:hAnsi="Arial"/>
          <w:color w:val="1A1A1A"/>
          <w:sz w:val="22"/>
          <w:szCs w:val="22"/>
        </w:rPr>
        <w:t xml:space="preserve">Backup retention windows are documented; deletion certificates state when full purge across backups will complete.</w:t>
      </w:r>
    </w:p>
    <w:p>
      <w:pPr>
        <w:spacing w:after="120" w:before="80" w:line="320"/>
      </w:pPr>
      <w:r>
        <w:rPr>
          <w:rFonts w:ascii="Arial" w:cs="Arial" w:eastAsia="Arial" w:hAnsi="Arial"/>
          <w:color w:val="1A1A1A"/>
          <w:sz w:val="22"/>
          <w:szCs w:val="22"/>
        </w:rPr>
        <w:t xml:space="preserve">Operators cannot bypass deletion. There is no admin override to retain data after a confirmed deletion request. The deletion path is the only path.</w:t>
      </w:r>
    </w:p>
    <w:p>
      <w:pPr>
        <w:pStyle w:val="Heading2"/>
        <w:spacing w:after="140" w:before="360"/>
      </w:pPr>
      <w:r>
        <w:rPr>
          <w:rFonts w:ascii="Arial" w:cs="Arial" w:eastAsia="Arial" w:hAnsi="Arial"/>
          <w:b/>
          <w:bCs/>
          <w:color w:val="1A1A1A"/>
          <w:sz w:val="28"/>
          <w:szCs w:val="28"/>
        </w:rPr>
        <w:t xml:space="preserve">8.4 Encryption</w:t>
      </w:r>
    </w:p>
    <w:p>
      <w:pPr>
        <w:pStyle w:val="Heading3"/>
        <w:spacing w:after="100" w:before="280"/>
      </w:pPr>
      <w:r>
        <w:rPr>
          <w:rFonts w:ascii="Arial" w:cs="Arial" w:eastAsia="Arial" w:hAnsi="Arial"/>
          <w:b/>
          <w:bCs/>
          <w:color w:val="1A1A1A"/>
          <w:sz w:val="23"/>
          <w:szCs w:val="23"/>
        </w:rPr>
        <w:t xml:space="preserve">8.4.1 Data in transit</w:t>
      </w:r>
    </w:p>
    <w:p>
      <w:pPr>
        <w:spacing w:after="120" w:before="80" w:line="320"/>
      </w:pPr>
      <w:r>
        <w:rPr>
          <w:rFonts w:ascii="Arial" w:cs="Arial" w:eastAsia="Arial" w:hAnsi="Arial"/>
          <w:color w:val="1A1A1A"/>
          <w:sz w:val="22"/>
          <w:szCs w:val="22"/>
        </w:rPr>
        <w:t xml:space="preserve">TLS 1.3 minimum on all client connections. Internal service-to-service calls within the cloud VPC use TLS or mTLS. Cross-region transfers (rare in v1) use VPN tunnels with strong cryptographic configuration.</w:t>
      </w:r>
    </w:p>
    <w:p>
      <w:pPr>
        <w:pStyle w:val="Heading3"/>
        <w:spacing w:after="100" w:before="280"/>
      </w:pPr>
      <w:r>
        <w:rPr>
          <w:rFonts w:ascii="Arial" w:cs="Arial" w:eastAsia="Arial" w:hAnsi="Arial"/>
          <w:b/>
          <w:bCs/>
          <w:color w:val="1A1A1A"/>
          <w:sz w:val="23"/>
          <w:szCs w:val="23"/>
        </w:rPr>
        <w:t xml:space="preserve">8.4.2 Data at rest</w:t>
      </w:r>
    </w:p>
    <w:p>
      <w:pPr>
        <w:spacing w:after="120" w:before="80" w:line="320"/>
      </w:pPr>
      <w:r>
        <w:rPr>
          <w:rFonts w:ascii="Arial" w:cs="Arial" w:eastAsia="Arial" w:hAnsi="Arial"/>
          <w:color w:val="1A1A1A"/>
          <w:sz w:val="22"/>
          <w:szCs w:val="22"/>
        </w:rPr>
        <w:t xml:space="preserve">Postgres data files: encrypted at rest via the cloud provider’s managed encryption (AWS RDS encryption, GCP CMEK). Customer-managed keys for tenants on Premium tier with that requirement. Vector store: provider-managed encryption (Pinecone, pgvector via Postgres encryption). Graph database: encrypted at rest via Neo4j AuraDB. Redis: encryption at rest enabled. Object store: SSE-S3 or SSE-KMS for sensitive content.</w:t>
      </w:r>
    </w:p>
    <w:p>
      <w:pPr>
        <w:pStyle w:val="Heading3"/>
        <w:spacing w:after="100" w:before="280"/>
      </w:pPr>
      <w:r>
        <w:rPr>
          <w:rFonts w:ascii="Arial" w:cs="Arial" w:eastAsia="Arial" w:hAnsi="Arial"/>
          <w:b/>
          <w:bCs/>
          <w:color w:val="1A1A1A"/>
          <w:sz w:val="23"/>
          <w:szCs w:val="23"/>
        </w:rPr>
        <w:t xml:space="preserve">8.4.3 Confidential mode</w:t>
      </w:r>
    </w:p>
    <w:p>
      <w:pPr>
        <w:spacing w:after="120" w:before="80" w:line="320"/>
      </w:pPr>
      <w:r>
        <w:rPr>
          <w:rFonts w:ascii="Arial" w:cs="Arial" w:eastAsia="Arial" w:hAnsi="Arial"/>
          <w:color w:val="1A1A1A"/>
          <w:sz w:val="22"/>
          <w:szCs w:val="22"/>
        </w:rPr>
        <w:t xml:space="preserve">Founders can mark sessions as confidential. In confidential mode: the session is not used for training, the recording is encrypted with a key the founder controls (held in their account, recoverable but not visible to the platform), the contribution corpus is excluded from the embedding indexes, and the session content is not used in any aggregate analysis. The founder can export and delete confidential session content at any time.</w:t>
      </w:r>
    </w:p>
    <w:p>
      <w:pPr>
        <w:pStyle w:val="Heading2"/>
        <w:spacing w:after="140" w:before="360"/>
      </w:pPr>
      <w:r>
        <w:rPr>
          <w:rFonts w:ascii="Arial" w:cs="Arial" w:eastAsia="Arial" w:hAnsi="Arial"/>
          <w:b/>
          <w:bCs/>
          <w:color w:val="1A1A1A"/>
          <w:sz w:val="28"/>
          <w:szCs w:val="28"/>
        </w:rPr>
        <w:t xml:space="preserve">8.5 Engineering-revenue insulation</w:t>
      </w:r>
    </w:p>
    <w:p>
      <w:pPr>
        <w:spacing w:after="120" w:before="80" w:line="320"/>
      </w:pPr>
      <w:r>
        <w:rPr>
          <w:rFonts w:ascii="Arial" w:cs="Arial" w:eastAsia="Arial" w:hAnsi="Arial"/>
          <w:color w:val="1A1A1A"/>
          <w:sz w:val="22"/>
          <w:szCs w:val="22"/>
        </w:rPr>
        <w:t xml:space="preserve">Per the resolution of Concern 10, this is enforced architecturally, not asserted by policy. The architecture makes it operationally hard to violate the boundary; the policy makes the consequences clear.</w:t>
      </w:r>
    </w:p>
    <w:p>
      <w:pPr>
        <w:pStyle w:val="Heading3"/>
        <w:spacing w:after="100" w:before="280"/>
      </w:pPr>
      <w:r>
        <w:rPr>
          <w:rFonts w:ascii="Arial" w:cs="Arial" w:eastAsia="Arial" w:hAnsi="Arial"/>
          <w:b/>
          <w:bCs/>
          <w:color w:val="1A1A1A"/>
          <w:sz w:val="23"/>
          <w:szCs w:val="23"/>
        </w:rPr>
        <w:t xml:space="preserve">8.5.1 The architectural enforcement</w:t>
      </w:r>
    </w:p>
    <w:p>
      <w:pPr>
        <w:spacing w:after="120" w:before="80" w:line="320"/>
      </w:pPr>
      <w:r>
        <w:rPr>
          <w:rFonts w:ascii="Arial" w:cs="Arial" w:eastAsia="Arial" w:hAnsi="Arial"/>
          <w:color w:val="1A1A1A"/>
          <w:sz w:val="22"/>
          <w:szCs w:val="22"/>
        </w:rPr>
        <w:t xml:space="preserve">Performance Service’s data store is logically separate from the marketplace data store. They live in different Postgres schemas (performance_data and marketplace_data) with different permissions.</w:t>
      </w:r>
    </w:p>
    <w:p>
      <w:pPr>
        <w:spacing w:after="120" w:before="80" w:line="320"/>
      </w:pPr>
      <w:r>
        <w:rPr>
          <w:rFonts w:ascii="Arial" w:cs="Arial" w:eastAsia="Arial" w:hAnsi="Arial"/>
          <w:color w:val="1A1A1A"/>
          <w:sz w:val="22"/>
          <w:szCs w:val="22"/>
        </w:rPr>
        <w:t xml:space="preserve">IAM roles are separated: the prompt_engineer role has read access to performance_data and write access to agent_definitions, but no access to marketplace_data. The marketplace_ops role has read access to marketplace_data but no access to performance_data’s detailed evaluation events.</w:t>
      </w:r>
    </w:p>
    <w:p>
      <w:pPr>
        <w:spacing w:after="120" w:before="80" w:line="320"/>
      </w:pPr>
      <w:r>
        <w:rPr>
          <w:rFonts w:ascii="Arial" w:cs="Arial" w:eastAsia="Arial" w:hAnsi="Arial"/>
          <w:color w:val="1A1A1A"/>
          <w:sz w:val="22"/>
          <w:szCs w:val="22"/>
        </w:rPr>
        <w:t xml:space="preserve">Joins between the two schemas require explicit cross-schema permission. The permission is not granted to any human role in the engineering organisation; it is granted only to the AI Quality Lead’s analysis role for the specific purpose of reviewing perverse deferral patterns (Section 6.4.3).</w:t>
      </w:r>
    </w:p>
    <w:p>
      <w:pPr>
        <w:spacing w:after="120" w:before="80" w:line="320"/>
      </w:pPr>
      <w:r>
        <w:rPr>
          <w:rFonts w:ascii="Arial" w:cs="Arial" w:eastAsia="Arial" w:hAnsi="Arial"/>
          <w:color w:val="1A1A1A"/>
          <w:sz w:val="22"/>
          <w:szCs w:val="22"/>
        </w:rPr>
        <w:t xml:space="preserve">Audit logs capture every cross-schema query. The log proves the boundary is held.</w:t>
      </w:r>
    </w:p>
    <w:p>
      <w:pPr>
        <w:pStyle w:val="Heading3"/>
        <w:spacing w:after="100" w:before="280"/>
      </w:pPr>
      <w:r>
        <w:rPr>
          <w:rFonts w:ascii="Arial" w:cs="Arial" w:eastAsia="Arial" w:hAnsi="Arial"/>
          <w:b/>
          <w:bCs/>
          <w:color w:val="1A1A1A"/>
          <w:sz w:val="23"/>
          <w:szCs w:val="23"/>
        </w:rPr>
        <w:t xml:space="preserve">8.5.2 The dashboards</w:t>
      </w:r>
    </w:p>
    <w:p>
      <w:pPr>
        <w:spacing w:after="120" w:before="80" w:line="320"/>
      </w:pPr>
      <w:r>
        <w:rPr>
          <w:rFonts w:ascii="Arial" w:cs="Arial" w:eastAsia="Arial" w:hAnsi="Arial"/>
          <w:color w:val="1A1A1A"/>
          <w:sz w:val="22"/>
          <w:szCs w:val="22"/>
        </w:rPr>
        <w:t xml:space="preserve">Engineering dashboards (used by the prompt-tuning team) show agent quality metrics, evaluation trends, prompt performance, latency. They do not show marketplace bookings, expert revenue, or transaction volume. Marketplace dashboards (used by marketplace ops) show bookings, expert performance, revenue. They do not show prompt-tuning details or evaluation event specifics.</w:t>
      </w:r>
    </w:p>
    <w:p>
      <w:pPr>
        <w:spacing w:after="120" w:before="80" w:line="320"/>
      </w:pPr>
      <w:r>
        <w:rPr>
          <w:rFonts w:ascii="Arial" w:cs="Arial" w:eastAsia="Arial" w:hAnsi="Arial"/>
          <w:color w:val="1A1A1A"/>
          <w:sz w:val="22"/>
          <w:szCs w:val="22"/>
        </w:rPr>
        <w:t xml:space="preserve">A separate executive dashboard, accessible only to senior leadership, combines both views for strategic overview. Access is logged and reviewed quarterly.</w:t>
      </w:r>
    </w:p>
    <w:p>
      <w:pPr>
        <w:pStyle w:val="Heading2"/>
        <w:spacing w:after="140" w:before="360"/>
      </w:pPr>
      <w:r>
        <w:rPr>
          <w:rFonts w:ascii="Arial" w:cs="Arial" w:eastAsia="Arial" w:hAnsi="Arial"/>
          <w:b/>
          <w:bCs/>
          <w:color w:val="1A1A1A"/>
          <w:sz w:val="28"/>
          <w:szCs w:val="28"/>
        </w:rPr>
        <w:t xml:space="preserve">8.6 Observability</w:t>
      </w:r>
    </w:p>
    <w:p>
      <w:pPr>
        <w:spacing w:after="120" w:before="80" w:line="320"/>
      </w:pPr>
      <w:r>
        <w:rPr>
          <w:rFonts w:ascii="Arial" w:cs="Arial" w:eastAsia="Arial" w:hAnsi="Arial"/>
          <w:color w:val="1A1A1A"/>
          <w:sz w:val="22"/>
          <w:szCs w:val="22"/>
        </w:rPr>
        <w:t xml:space="preserve">Observability is a v1 commitment, not a "we’ll add it later" item. Without it, the days-to-weeks tempo is impossible to maintain because failures cannot be diagnosed in time.</w:t>
      </w:r>
    </w:p>
    <w:p>
      <w:pPr>
        <w:pStyle w:val="Heading3"/>
        <w:spacing w:after="100" w:before="280"/>
      </w:pPr>
      <w:r>
        <w:rPr>
          <w:rFonts w:ascii="Arial" w:cs="Arial" w:eastAsia="Arial" w:hAnsi="Arial"/>
          <w:b/>
          <w:bCs/>
          <w:color w:val="1A1A1A"/>
          <w:sz w:val="23"/>
          <w:szCs w:val="23"/>
        </w:rPr>
        <w:t xml:space="preserve">8.6.1 The three pillars</w:t>
      </w:r>
    </w:p>
    <w:p>
      <w:pPr>
        <w:spacing w:after="120" w:before="80" w:line="320"/>
      </w:pPr>
      <w:r>
        <w:rPr>
          <w:rFonts w:ascii="Arial" w:cs="Arial" w:eastAsia="Arial" w:hAnsi="Arial"/>
          <w:color w:val="1A1A1A"/>
          <w:sz w:val="22"/>
          <w:szCs w:val="22"/>
        </w:rPr>
        <w:t xml:space="preserve">Metrics, logs, and traces are emitted from every component. Stored in the chosen observability platform (Datadog or Grafana Cloud).</w:t>
      </w:r>
    </w:p>
    <w:p>
      <w:pPr>
        <w:spacing w:after="120" w:before="80" w:line="320"/>
      </w:pPr>
      <w:r>
        <w:rPr>
          <w:rFonts w:ascii="Arial" w:cs="Arial" w:eastAsia="Arial" w:hAnsi="Arial"/>
          <w:color w:val="1A1A1A"/>
          <w:sz w:val="22"/>
          <w:szCs w:val="22"/>
        </w:rPr>
        <w:t xml:space="preserve">Metrics: latency P50/P95/P99 per operation, throughput, error rates, queue depths, resource usage. Custom metrics for agent quality, routing decisions, marketplace activity. Dashboards per component plus cross-cutting dashboards for the whole system.</w:t>
      </w:r>
    </w:p>
    <w:p>
      <w:pPr>
        <w:spacing w:after="120" w:before="80" w:line="320"/>
      </w:pPr>
      <w:r>
        <w:rPr>
          <w:rFonts w:ascii="Arial" w:cs="Arial" w:eastAsia="Arial" w:hAnsi="Arial"/>
          <w:color w:val="1A1A1A"/>
          <w:sz w:val="22"/>
          <w:szCs w:val="22"/>
        </w:rPr>
        <w:t xml:space="preserve">Logs: structured logs with consistent fields (tenant_id, request_id, user_id where applicable, component, severity). Sensitive data is excluded; PII is hashed or omitted. Log retention is 90 days hot, 1 year cold.</w:t>
      </w:r>
    </w:p>
    <w:p>
      <w:pPr>
        <w:spacing w:after="120" w:before="80" w:line="320"/>
      </w:pPr>
      <w:r>
        <w:rPr>
          <w:rFonts w:ascii="Arial" w:cs="Arial" w:eastAsia="Arial" w:hAnsi="Arial"/>
          <w:color w:val="1A1A1A"/>
          <w:sz w:val="22"/>
          <w:szCs w:val="22"/>
        </w:rPr>
        <w:t xml:space="preserve">Traces: distributed traces across the request path. The tenant_id is a baggage field, propagated through async hops. A trace shows: the API request, the database queries, the LLM provider call, the cache reads, the event publishes. Sampling at 10% baseline, 100% for slow requests.</w:t>
      </w:r>
    </w:p>
    <w:p>
      <w:pPr>
        <w:pStyle w:val="Heading3"/>
        <w:spacing w:after="100" w:before="280"/>
      </w:pPr>
      <w:r>
        <w:rPr>
          <w:rFonts w:ascii="Arial" w:cs="Arial" w:eastAsia="Arial" w:hAnsi="Arial"/>
          <w:b/>
          <w:bCs/>
          <w:color w:val="1A1A1A"/>
          <w:sz w:val="23"/>
          <w:szCs w:val="23"/>
        </w:rPr>
        <w:t xml:space="preserve">8.6.2 Service-level objectives</w:t>
      </w:r>
    </w:p>
    <w:p>
      <w:pPr>
        <w:spacing w:after="120" w:before="80" w:line="320"/>
      </w:pPr>
      <w:r>
        <w:rPr>
          <w:rFonts w:ascii="Arial" w:cs="Arial" w:eastAsia="Arial" w:hAnsi="Arial"/>
          <w:color w:val="1A1A1A"/>
          <w:sz w:val="22"/>
          <w:szCs w:val="22"/>
        </w:rPr>
        <w:t xml:space="preserve">SLOs are defined per major user-facing capability:</w:t>
      </w:r>
    </w:p>
    <w:p>
      <w:pPr>
        <w:spacing w:after="120" w:before="80" w:line="320"/>
      </w:pPr>
      <w:r>
        <w:rPr>
          <w:rFonts w:ascii="Arial" w:cs="Arial" w:eastAsia="Arial" w:hAnsi="Arial"/>
          <w:color w:val="1A1A1A"/>
          <w:sz w:val="22"/>
          <w:szCs w:val="22"/>
        </w:rPr>
        <w:t xml:space="preserve">SLO violations alert on-call. The error budget concept governs feature velocity: when an error budget is depleted, the team prioritises stability over new features until the budget recovers.</w:t>
      </w:r>
    </w:p>
    <w:p>
      <w:pPr>
        <w:pStyle w:val="Heading2"/>
        <w:spacing w:after="140" w:before="360"/>
      </w:pPr>
      <w:r>
        <w:rPr>
          <w:rFonts w:ascii="Arial" w:cs="Arial" w:eastAsia="Arial" w:hAnsi="Arial"/>
          <w:b/>
          <w:bCs/>
          <w:color w:val="1A1A1A"/>
          <w:sz w:val="28"/>
          <w:szCs w:val="28"/>
        </w:rPr>
        <w:t xml:space="preserve">8.7 Security</w:t>
      </w:r>
    </w:p>
    <w:p>
      <w:pPr>
        <w:pStyle w:val="Heading3"/>
        <w:spacing w:after="100" w:before="280"/>
      </w:pPr>
      <w:r>
        <w:rPr>
          <w:rFonts w:ascii="Arial" w:cs="Arial" w:eastAsia="Arial" w:hAnsi="Arial"/>
          <w:b/>
          <w:bCs/>
          <w:color w:val="1A1A1A"/>
          <w:sz w:val="23"/>
          <w:szCs w:val="23"/>
        </w:rPr>
        <w:t xml:space="preserve">8.7.1 Authentication</w:t>
      </w:r>
    </w:p>
    <w:p>
      <w:pPr>
        <w:spacing w:after="120" w:before="80" w:line="320"/>
      </w:pPr>
      <w:r>
        <w:rPr>
          <w:rFonts w:ascii="Arial" w:cs="Arial" w:eastAsia="Arial" w:hAnsi="Arial"/>
          <w:color w:val="1A1A1A"/>
          <w:sz w:val="22"/>
          <w:szCs w:val="22"/>
        </w:rPr>
        <w:t xml:space="preserve">OAuth providers (Google, Microsoft, Apple) for primary user auth. Magic-link email as fallback. Two-factor authentication required for Premium and Professional tiers; available and recommended for all tiers. Session tokens are short-lived; refresh tokens are bound to device fingerprints; suspicious refresh patterns trigger re-authentication.</w:t>
      </w:r>
    </w:p>
    <w:p>
      <w:pPr>
        <w:spacing w:after="120" w:before="80" w:line="320"/>
      </w:pPr>
      <w:r>
        <w:rPr>
          <w:rFonts w:ascii="Arial" w:cs="Arial" w:eastAsia="Arial" w:hAnsi="Arial"/>
          <w:color w:val="1A1A1A"/>
          <w:sz w:val="22"/>
          <w:szCs w:val="22"/>
        </w:rPr>
        <w:t xml:space="preserve">Guest joins use signed, single-use tokens that expire on consumption or after a configurable window. Guest tokens cannot be elevated to authenticated sessions; they are scoped to one meeting and discarded.</w:t>
      </w:r>
    </w:p>
    <w:p>
      <w:pPr>
        <w:pStyle w:val="Heading3"/>
        <w:spacing w:after="100" w:before="280"/>
      </w:pPr>
      <w:r>
        <w:rPr>
          <w:rFonts w:ascii="Arial" w:cs="Arial" w:eastAsia="Arial" w:hAnsi="Arial"/>
          <w:b/>
          <w:bCs/>
          <w:color w:val="1A1A1A"/>
          <w:sz w:val="23"/>
          <w:szCs w:val="23"/>
        </w:rPr>
        <w:t xml:space="preserve">8.7.2 Authorisation</w:t>
      </w:r>
    </w:p>
    <w:p>
      <w:pPr>
        <w:spacing w:after="120" w:before="80" w:line="320"/>
      </w:pPr>
      <w:r>
        <w:rPr>
          <w:rFonts w:ascii="Arial" w:cs="Arial" w:eastAsia="Arial" w:hAnsi="Arial"/>
          <w:color w:val="1A1A1A"/>
          <w:sz w:val="22"/>
          <w:szCs w:val="22"/>
        </w:rPr>
        <w:t xml:space="preserve">Role-based access at multiple layers:</w:t>
      </w:r>
    </w:p>
    <w:p>
      <w:pPr>
        <w:spacing w:after="120" w:before="80" w:line="320"/>
      </w:pPr>
      <w:r>
        <w:rPr>
          <w:rFonts w:ascii="Arial" w:cs="Arial" w:eastAsia="Arial" w:hAnsi="Arial"/>
          <w:color w:val="1A1A1A"/>
          <w:sz w:val="22"/>
          <w:szCs w:val="22"/>
        </w:rPr>
        <w:t xml:space="preserve">Tenant-level roles: founder, team_member, expert, guest. Each has a defined set of permissions within the tenant.</w:t>
      </w:r>
    </w:p>
    <w:p>
      <w:pPr>
        <w:spacing w:after="120" w:before="80" w:line="320"/>
      </w:pPr>
      <w:r>
        <w:rPr>
          <w:rFonts w:ascii="Arial" w:cs="Arial" w:eastAsia="Arial" w:hAnsi="Arial"/>
          <w:color w:val="1A1A1A"/>
          <w:sz w:val="22"/>
          <w:szCs w:val="22"/>
        </w:rPr>
        <w:t xml:space="preserve">Resource-level ACLs: per-meeting access lists, per-brain-segment access for team members, per-engagement scoping for experts.</w:t>
      </w:r>
    </w:p>
    <w:p>
      <w:pPr>
        <w:spacing w:after="120" w:before="80" w:line="320"/>
      </w:pPr>
      <w:r>
        <w:rPr>
          <w:rFonts w:ascii="Arial" w:cs="Arial" w:eastAsia="Arial" w:hAnsi="Arial"/>
          <w:color w:val="1A1A1A"/>
          <w:sz w:val="22"/>
          <w:szCs w:val="22"/>
        </w:rPr>
        <w:t xml:space="preserve">Operator roles: prompt_engineer, marketplace_ops, ai_quality_lead, security_engineer, on_call. Each has specific permissions; least privilege.</w:t>
      </w:r>
    </w:p>
    <w:p>
      <w:pPr>
        <w:spacing w:after="120" w:before="80" w:line="320"/>
      </w:pPr>
      <w:r>
        <w:rPr>
          <w:rFonts w:ascii="Arial" w:cs="Arial" w:eastAsia="Arial" w:hAnsi="Arial"/>
          <w:color w:val="1A1A1A"/>
          <w:sz w:val="22"/>
          <w:szCs w:val="22"/>
        </w:rPr>
        <w:t xml:space="preserve">Authorisation checks happen at every API boundary. They are not optional; they are wrapped into the request handling middleware so omission produces a deny by default.</w:t>
      </w:r>
    </w:p>
    <w:p>
      <w:pPr>
        <w:pStyle w:val="Heading3"/>
        <w:spacing w:after="100" w:before="280"/>
      </w:pPr>
      <w:r>
        <w:rPr>
          <w:rFonts w:ascii="Arial" w:cs="Arial" w:eastAsia="Arial" w:hAnsi="Arial"/>
          <w:b/>
          <w:bCs/>
          <w:color w:val="1A1A1A"/>
          <w:sz w:val="23"/>
          <w:szCs w:val="23"/>
        </w:rPr>
        <w:t xml:space="preserve">8.7.3 Input validation and abuse prevention</w:t>
      </w:r>
    </w:p>
    <w:p>
      <w:pPr>
        <w:spacing w:after="120" w:before="80" w:line="320"/>
      </w:pPr>
      <w:r>
        <w:rPr>
          <w:rFonts w:ascii="Arial" w:cs="Arial" w:eastAsia="Arial" w:hAnsi="Arial"/>
          <w:color w:val="1A1A1A"/>
          <w:sz w:val="22"/>
          <w:szCs w:val="22"/>
        </w:rPr>
        <w:t xml:space="preserve">All API inputs are validated against typed schemas. Rate limiting per user, per tenant, per IP. Anomalous activity (sudden burst of API calls, login failures, unusual access patterns) triggers automated mitigations and alerts. Bot detection on guest joins.</w:t>
      </w:r>
    </w:p>
    <w:p>
      <w:pPr>
        <w:pStyle w:val="Heading3"/>
        <w:spacing w:after="100" w:before="280"/>
      </w:pPr>
      <w:r>
        <w:rPr>
          <w:rFonts w:ascii="Arial" w:cs="Arial" w:eastAsia="Arial" w:hAnsi="Arial"/>
          <w:b/>
          <w:bCs/>
          <w:color w:val="1A1A1A"/>
          <w:sz w:val="23"/>
          <w:szCs w:val="23"/>
        </w:rPr>
        <w:t xml:space="preserve">8.7.4 Secrets management</w:t>
      </w:r>
    </w:p>
    <w:p>
      <w:pPr>
        <w:spacing w:after="120" w:before="80" w:line="320"/>
      </w:pPr>
      <w:r>
        <w:rPr>
          <w:rFonts w:ascii="Arial" w:cs="Arial" w:eastAsia="Arial" w:hAnsi="Arial"/>
          <w:color w:val="1A1A1A"/>
          <w:sz w:val="22"/>
          <w:szCs w:val="22"/>
        </w:rPr>
        <w:t xml:space="preserve">All secrets stored in the cloud provider’s secrets manager (AWS Secrets Manager, GCP Secret Manager). Application code accesses secrets via the secrets manager client; secrets are not embedded in environment variables or code. Secret rotation is automated on a defined cadence (90 days for service credentials, 365 days for less-sensitive items).</w:t>
      </w:r>
    </w:p>
    <w:p>
      <w:pPr>
        <w:pStyle w:val="Heading3"/>
        <w:spacing w:after="100" w:before="280"/>
      </w:pPr>
      <w:r>
        <w:rPr>
          <w:rFonts w:ascii="Arial" w:cs="Arial" w:eastAsia="Arial" w:hAnsi="Arial"/>
          <w:b/>
          <w:bCs/>
          <w:color w:val="1A1A1A"/>
          <w:sz w:val="23"/>
          <w:szCs w:val="23"/>
        </w:rPr>
        <w:t xml:space="preserve">8.7.5 Vulnerability management</w:t>
      </w:r>
    </w:p>
    <w:p>
      <w:pPr>
        <w:spacing w:after="120" w:before="80" w:line="320"/>
      </w:pPr>
      <w:r>
        <w:rPr>
          <w:rFonts w:ascii="Arial" w:cs="Arial" w:eastAsia="Arial" w:hAnsi="Arial"/>
          <w:color w:val="1A1A1A"/>
          <w:sz w:val="22"/>
          <w:szCs w:val="22"/>
        </w:rPr>
        <w:t xml:space="preserve">Dependencies scanned continuously (Dependabot, Snyk, or equivalent). Vulnerabilities triaged by severity; critical and high severity issues addressed within defined SLAs (24 hours for critical, 7 days for high). Penetration testing annually plus on major architectural changes. Bug bounty program at appropriate scale.</w:t>
      </w:r>
    </w:p>
    <w:p>
      <w:pPr>
        <w:pStyle w:val="Heading2"/>
        <w:spacing w:after="140" w:before="360"/>
      </w:pPr>
      <w:r>
        <w:rPr>
          <w:rFonts w:ascii="Arial" w:cs="Arial" w:eastAsia="Arial" w:hAnsi="Arial"/>
          <w:b/>
          <w:bCs/>
          <w:color w:val="1A1A1A"/>
          <w:sz w:val="28"/>
          <w:szCs w:val="28"/>
        </w:rPr>
        <w:t xml:space="preserve">8.8 Compliance trajectory</w:t>
      </w:r>
    </w:p>
    <w:p>
      <w:pPr>
        <w:spacing w:after="120" w:before="80" w:line="320"/>
      </w:pPr>
      <w:r>
        <w:rPr>
          <w:rFonts w:ascii="Arial" w:cs="Arial" w:eastAsia="Arial" w:hAnsi="Arial"/>
          <w:color w:val="1A1A1A"/>
          <w:sz w:val="22"/>
          <w:szCs w:val="22"/>
        </w:rPr>
        <w:t xml:space="preserve">Compliance is built in, not bolted on. The architecture supports the certifications and regulations the platform needs from day one.</w:t>
      </w:r>
    </w:p>
    <w:p>
      <w:pPr>
        <w:pStyle w:val="Heading3"/>
        <w:spacing w:after="100" w:before="280"/>
      </w:pPr>
      <w:r>
        <w:rPr>
          <w:rFonts w:ascii="Arial" w:cs="Arial" w:eastAsia="Arial" w:hAnsi="Arial"/>
          <w:b/>
          <w:bCs/>
          <w:color w:val="1A1A1A"/>
          <w:sz w:val="23"/>
          <w:szCs w:val="23"/>
        </w:rPr>
        <w:t xml:space="preserve">8.8.1 SOC 2 Type II</w:t>
      </w:r>
    </w:p>
    <w:p>
      <w:pPr>
        <w:spacing w:after="120" w:before="80" w:line="320"/>
      </w:pPr>
      <w:r>
        <w:rPr>
          <w:rFonts w:ascii="Arial" w:cs="Arial" w:eastAsia="Arial" w:hAnsi="Arial"/>
          <w:color w:val="1A1A1A"/>
          <w:sz w:val="22"/>
          <w:szCs w:val="22"/>
        </w:rPr>
        <w:t xml:space="preserve">Pursued early per the Platform Specification. Trust Service Criteria (Security, Availability, Confidentiality at minimum) are designed into the architecture. Audit-friendly artefacts: change control via git and approved deployment pipelines, access reviews quarterly, security training, vendor risk assessments, incident response procedures.</w:t>
      </w:r>
    </w:p>
    <w:p>
      <w:pPr>
        <w:pStyle w:val="Heading3"/>
        <w:spacing w:after="100" w:before="280"/>
      </w:pPr>
      <w:r>
        <w:rPr>
          <w:rFonts w:ascii="Arial" w:cs="Arial" w:eastAsia="Arial" w:hAnsi="Arial"/>
          <w:b/>
          <w:bCs/>
          <w:color w:val="1A1A1A"/>
          <w:sz w:val="23"/>
          <w:szCs w:val="23"/>
        </w:rPr>
        <w:t xml:space="preserve">8.8.2 GDPR</w:t>
      </w:r>
    </w:p>
    <w:p>
      <w:pPr>
        <w:spacing w:after="120" w:before="80" w:line="320"/>
      </w:pPr>
      <w:r>
        <w:rPr>
          <w:rFonts w:ascii="Arial" w:cs="Arial" w:eastAsia="Arial" w:hAnsi="Arial"/>
          <w:color w:val="1A1A1A"/>
          <w:sz w:val="22"/>
          <w:szCs w:val="22"/>
        </w:rPr>
        <w:t xml:space="preserve">Founder data is processed under GDPR for EU subjects. Data subject rights are supported: access (founder transparency surface), rectification (edit per item in the brain), erasure (deletion pipeline), portability (full export). Lawful basis is consent for most processing; legitimate interests for security and fraud prevention. Data Protection Officer designated when scale requires; data processing impact assessments for high-risk processing.</w:t>
      </w:r>
    </w:p>
    <w:p>
      <w:pPr>
        <w:pStyle w:val="Heading3"/>
        <w:spacing w:after="100" w:before="280"/>
      </w:pPr>
      <w:r>
        <w:rPr>
          <w:rFonts w:ascii="Arial" w:cs="Arial" w:eastAsia="Arial" w:hAnsi="Arial"/>
          <w:b/>
          <w:bCs/>
          <w:color w:val="1A1A1A"/>
          <w:sz w:val="23"/>
          <w:szCs w:val="23"/>
        </w:rPr>
        <w:t xml:space="preserve">8.8.3 India DPDPA</w:t>
      </w:r>
    </w:p>
    <w:p>
      <w:pPr>
        <w:spacing w:after="120" w:before="80" w:line="320"/>
      </w:pPr>
      <w:r>
        <w:rPr>
          <w:rFonts w:ascii="Arial" w:cs="Arial" w:eastAsia="Arial" w:hAnsi="Arial"/>
          <w:color w:val="1A1A1A"/>
          <w:sz w:val="22"/>
          <w:szCs w:val="22"/>
        </w:rPr>
        <w:t xml:space="preserve">Indian users’ personal data is processed under the Digital Personal Data Protection Act. Consent capture, purpose limitation, data minimisation, and the right to erasure are aligned. India-specific data residency available for Indian tenants on Premium tier.</w:t>
      </w:r>
    </w:p>
    <w:p>
      <w:pPr>
        <w:pStyle w:val="Heading3"/>
        <w:spacing w:after="100" w:before="280"/>
      </w:pPr>
      <w:r>
        <w:rPr>
          <w:rFonts w:ascii="Arial" w:cs="Arial" w:eastAsia="Arial" w:hAnsi="Arial"/>
          <w:b/>
          <w:bCs/>
          <w:color w:val="1A1A1A"/>
          <w:sz w:val="23"/>
          <w:szCs w:val="23"/>
        </w:rPr>
        <w:t xml:space="preserve">8.8.4 Sectoral compliance</w:t>
      </w:r>
    </w:p>
    <w:p>
      <w:pPr>
        <w:spacing w:after="120" w:before="80" w:line="320"/>
      </w:pPr>
      <w:r>
        <w:rPr>
          <w:rFonts w:ascii="Arial" w:cs="Arial" w:eastAsia="Arial" w:hAnsi="Arial"/>
          <w:color w:val="1A1A1A"/>
          <w:sz w:val="22"/>
          <w:szCs w:val="22"/>
        </w:rPr>
        <w:t xml:space="preserve">When tenants in regulated industries (healthcare, financial services, legal) sign up at Enterprise scale, sectoral compliance is added: HIPAA for US healthcare data, FINRA for broker-dealer activity, attorney-client privilege handling for legal services. These are not v1 commitments but the architecture supports them additively without redesign.</w:t>
      </w:r>
    </w:p>
    <w:p>
      <w:pPr>
        <w:pStyle w:val="Heading2"/>
        <w:spacing w:after="140" w:before="360"/>
      </w:pPr>
      <w:r>
        <w:rPr>
          <w:rFonts w:ascii="Arial" w:cs="Arial" w:eastAsia="Arial" w:hAnsi="Arial"/>
          <w:b/>
          <w:bCs/>
          <w:color w:val="1A1A1A"/>
          <w:sz w:val="28"/>
          <w:szCs w:val="28"/>
        </w:rPr>
        <w:t xml:space="preserve">8.9 Operational readiness</w:t>
      </w:r>
    </w:p>
    <w:p>
      <w:pPr>
        <w:pStyle w:val="Heading3"/>
        <w:spacing w:after="100" w:before="280"/>
      </w:pPr>
      <w:r>
        <w:rPr>
          <w:rFonts w:ascii="Arial" w:cs="Arial" w:eastAsia="Arial" w:hAnsi="Arial"/>
          <w:b/>
          <w:bCs/>
          <w:color w:val="1A1A1A"/>
          <w:sz w:val="23"/>
          <w:szCs w:val="23"/>
        </w:rPr>
        <w:t xml:space="preserve">8.9.1 On-call</w:t>
      </w:r>
    </w:p>
    <w:p>
      <w:pPr>
        <w:spacing w:after="120" w:before="80" w:line="320"/>
      </w:pPr>
      <w:r>
        <w:rPr>
          <w:rFonts w:ascii="Arial" w:cs="Arial" w:eastAsia="Arial" w:hAnsi="Arial"/>
          <w:color w:val="1A1A1A"/>
          <w:sz w:val="22"/>
          <w:szCs w:val="22"/>
        </w:rPr>
        <w:t xml:space="preserve">The engineering team rotates on-call coverage. PagerDuty or Opsgenie for alert routing. Runbooks for every alert. Post-incident reviews for every page; post-mortems for every customer-impacting incident. Blameless culture; the goal is system improvement, not individual blame.</w:t>
      </w:r>
    </w:p>
    <w:p>
      <w:pPr>
        <w:pStyle w:val="Heading3"/>
        <w:spacing w:after="100" w:before="280"/>
      </w:pPr>
      <w:r>
        <w:rPr>
          <w:rFonts w:ascii="Arial" w:cs="Arial" w:eastAsia="Arial" w:hAnsi="Arial"/>
          <w:b/>
          <w:bCs/>
          <w:color w:val="1A1A1A"/>
          <w:sz w:val="23"/>
          <w:szCs w:val="23"/>
        </w:rPr>
        <w:t xml:space="preserve">8.9.2 Disaster recovery</w:t>
      </w:r>
    </w:p>
    <w:p>
      <w:pPr>
        <w:spacing w:after="120" w:before="80" w:line="320"/>
      </w:pPr>
      <w:r>
        <w:rPr>
          <w:rFonts w:ascii="Arial" w:cs="Arial" w:eastAsia="Arial" w:hAnsi="Arial"/>
          <w:color w:val="1A1A1A"/>
          <w:sz w:val="22"/>
          <w:szCs w:val="22"/>
        </w:rPr>
        <w:t xml:space="preserve">RTO target: 4 hours for full service restore. RPO target: 1 hour for the last successfully ingested event. DR drills quarterly; failures remediated before the next drill.</w:t>
      </w:r>
    </w:p>
    <w:p>
      <w:pPr>
        <w:pStyle w:val="Heading3"/>
        <w:spacing w:after="100" w:before="280"/>
      </w:pPr>
      <w:r>
        <w:rPr>
          <w:rFonts w:ascii="Arial" w:cs="Arial" w:eastAsia="Arial" w:hAnsi="Arial"/>
          <w:b/>
          <w:bCs/>
          <w:color w:val="1A1A1A"/>
          <w:sz w:val="23"/>
          <w:szCs w:val="23"/>
        </w:rPr>
        <w:t xml:space="preserve">8.9.3 Capacity planning</w:t>
      </w:r>
    </w:p>
    <w:p>
      <w:pPr>
        <w:spacing w:after="120" w:before="80" w:line="320"/>
      </w:pPr>
      <w:r>
        <w:rPr>
          <w:rFonts w:ascii="Arial" w:cs="Arial" w:eastAsia="Arial" w:hAnsi="Arial"/>
          <w:color w:val="1A1A1A"/>
          <w:sz w:val="22"/>
          <w:szCs w:val="22"/>
        </w:rPr>
        <w:t xml:space="preserve">Capacity reviews monthly. Forecasting based on user growth, meeting volume per user, agent contribution rates, marketplace activity. Provider capacity reviews (LLM providers, media vendor) coordinated with their account teams.</w:t>
      </w:r>
    </w:p>
    <w:p>
      <w:pPr>
        <w:pStyle w:val="Heading2"/>
        <w:spacing w:after="140" w:before="360"/>
      </w:pPr>
      <w:r>
        <w:rPr>
          <w:rFonts w:ascii="Arial" w:cs="Arial" w:eastAsia="Arial" w:hAnsi="Arial"/>
          <w:b/>
          <w:bCs/>
          <w:color w:val="1A1A1A"/>
          <w:sz w:val="28"/>
          <w:szCs w:val="28"/>
        </w:rPr>
        <w:t xml:space="preserve">8.10 What this layer locks</w:t>
      </w:r>
    </w:p>
    <w:p>
      <w:pPr>
        <w:spacing w:after="120" w:before="80" w:line="320"/>
      </w:pPr>
      <w:r>
        <w:rPr>
          <w:rFonts w:ascii="Arial" w:cs="Arial" w:eastAsia="Arial" w:hAnsi="Arial"/>
          <w:color w:val="1A1A1A"/>
          <w:sz w:val="22"/>
          <w:szCs w:val="22"/>
        </w:rPr>
        <w:t xml:space="preserve">Tenant isolation enforced at four layers: type system, application, connection, database</w:t>
      </w:r>
    </w:p>
    <w:p>
      <w:pPr>
        <w:spacing w:after="120" w:before="80" w:line="320"/>
      </w:pPr>
      <w:r>
        <w:rPr>
          <w:rFonts w:ascii="Arial" w:cs="Arial" w:eastAsia="Arial" w:hAnsi="Arial"/>
          <w:color w:val="1A1A1A"/>
          <w:sz w:val="22"/>
          <w:szCs w:val="22"/>
        </w:rPr>
        <w:t xml:space="preserve">Consent captured per-jurisdiction with audit logs and a consent API every component calls</w:t>
      </w:r>
    </w:p>
    <w:p>
      <w:pPr>
        <w:spacing w:after="120" w:before="80" w:line="320"/>
      </w:pPr>
      <w:r>
        <w:rPr>
          <w:rFonts w:ascii="Arial" w:cs="Arial" w:eastAsia="Arial" w:hAnsi="Arial"/>
          <w:color w:val="1A1A1A"/>
          <w:sz w:val="22"/>
          <w:szCs w:val="22"/>
        </w:rPr>
        <w:t xml:space="preserve">Hard deletion as a first-class data product with verifiable cross-store completion</w:t>
      </w:r>
    </w:p>
    <w:p>
      <w:pPr>
        <w:spacing w:after="120" w:before="80" w:line="320"/>
      </w:pPr>
      <w:r>
        <w:rPr>
          <w:rFonts w:ascii="Arial" w:cs="Arial" w:eastAsia="Arial" w:hAnsi="Arial"/>
          <w:color w:val="1A1A1A"/>
          <w:sz w:val="22"/>
          <w:szCs w:val="22"/>
        </w:rPr>
        <w:t xml:space="preserve">TLS 1.3 minimum, encryption at rest everywhere, confidential mode for high-stakes founders</w:t>
      </w:r>
    </w:p>
    <w:p>
      <w:pPr>
        <w:spacing w:after="120" w:before="80" w:line="320"/>
      </w:pPr>
      <w:r>
        <w:rPr>
          <w:rFonts w:ascii="Arial" w:cs="Arial" w:eastAsia="Arial" w:hAnsi="Arial"/>
          <w:color w:val="1A1A1A"/>
          <w:sz w:val="22"/>
          <w:szCs w:val="22"/>
        </w:rPr>
        <w:t xml:space="preserve">Engineering-revenue insulation enforced through schema-level IAM, not application policy</w:t>
      </w:r>
    </w:p>
    <w:p>
      <w:pPr>
        <w:spacing w:after="120" w:before="80" w:line="320"/>
      </w:pPr>
      <w:r>
        <w:rPr>
          <w:rFonts w:ascii="Arial" w:cs="Arial" w:eastAsia="Arial" w:hAnsi="Arial"/>
          <w:color w:val="1A1A1A"/>
          <w:sz w:val="22"/>
          <w:szCs w:val="22"/>
        </w:rPr>
        <w:t xml:space="preserve">Observability with metrics, logs, traces, SLOs from v1</w:t>
      </w:r>
    </w:p>
    <w:p>
      <w:pPr>
        <w:spacing w:after="120" w:before="80" w:line="320"/>
      </w:pPr>
      <w:r>
        <w:rPr>
          <w:rFonts w:ascii="Arial" w:cs="Arial" w:eastAsia="Arial" w:hAnsi="Arial"/>
          <w:color w:val="1A1A1A"/>
          <w:sz w:val="22"/>
          <w:szCs w:val="22"/>
        </w:rPr>
        <w:t xml:space="preserve">OAuth + 2FA, role-based authorisation, secrets management, vulnerability management</w:t>
      </w:r>
    </w:p>
    <w:p>
      <w:pPr>
        <w:spacing w:after="120" w:before="80" w:line="320"/>
      </w:pPr>
      <w:r>
        <w:rPr>
          <w:rFonts w:ascii="Arial" w:cs="Arial" w:eastAsia="Arial" w:hAnsi="Arial"/>
          <w:color w:val="1A1A1A"/>
          <w:sz w:val="22"/>
          <w:szCs w:val="22"/>
        </w:rPr>
        <w:t xml:space="preserve">SOC 2 Type II trajectory, GDPR and DPDPA compliance, sectoral compliance additive</w:t>
      </w:r>
    </w:p>
    <w:p>
      <w:pPr>
        <w:spacing w:after="120" w:before="80" w:line="320"/>
      </w:pPr>
      <w:r>
        <w:rPr>
          <w:rFonts w:ascii="Arial" w:cs="Arial" w:eastAsia="Arial" w:hAnsi="Arial"/>
          <w:color w:val="1A1A1A"/>
          <w:sz w:val="22"/>
          <w:szCs w:val="22"/>
        </w:rPr>
        <w:t xml:space="preserve">On-call, DR, and capacity planning as operational disciplines</w:t>
      </w:r>
    </w:p>
    <w:p>
      <w:pPr>
        <w:pStyle w:val="Heading1"/>
        <w:spacing w:after="200" w:before="480"/>
      </w:pPr>
      <w:r>
        <w:rPr>
          <w:rFonts w:ascii="Arial" w:cs="Arial" w:eastAsia="Arial" w:hAnsi="Arial"/>
          <w:b/>
          <w:bCs/>
          <w:color w:val="4A3FC7"/>
          <w:sz w:val="36"/>
          <w:szCs w:val="36"/>
        </w:rPr>
        <w:t xml:space="preserve">9. Build-Start Technology Decisions</w:t>
      </w:r>
    </w:p>
    <w:p>
      <w:pPr>
        <w:spacing w:after="120" w:before="80" w:line="320"/>
      </w:pPr>
      <w:r>
        <w:rPr>
          <w:rFonts w:ascii="Arial" w:cs="Arial" w:eastAsia="Arial" w:hAnsi="Arial"/>
          <w:color w:val="1A1A1A"/>
          <w:sz w:val="22"/>
          <w:szCs w:val="22"/>
        </w:rPr>
        <w:t xml:space="preserve">The architecture commits to specific patterns and constraints but defers a small set of technology choices to the moment of build start. These are decisions where the right answer depends on hands-on evaluation against current vendor offerings, current pricing, and current team familiarity. Each decision below has a recommended default, the criteria for evaluation, and the consequence of the choice.</w:t>
      </w:r>
    </w:p>
    <w:p>
      <w:pPr>
        <w:pStyle w:val="Heading2"/>
        <w:spacing w:after="140" w:before="360"/>
      </w:pPr>
      <w:r>
        <w:rPr>
          <w:rFonts w:ascii="Arial" w:cs="Arial" w:eastAsia="Arial" w:hAnsi="Arial"/>
          <w:b/>
          <w:bCs/>
          <w:color w:val="1A1A1A"/>
          <w:sz w:val="28"/>
          <w:szCs w:val="28"/>
        </w:rPr>
        <w:t xml:space="preserve">9.1 Cloud provider</w:t>
      </w:r>
    </w:p>
    <w:p>
      <w:pPr>
        <w:pStyle w:val="Heading2"/>
        <w:spacing w:after="140" w:before="360"/>
      </w:pPr>
      <w:r>
        <w:rPr>
          <w:rFonts w:ascii="Arial" w:cs="Arial" w:eastAsia="Arial" w:hAnsi="Arial"/>
          <w:b/>
          <w:bCs/>
          <w:color w:val="1A1A1A"/>
          <w:sz w:val="28"/>
          <w:szCs w:val="28"/>
        </w:rPr>
        <w:t xml:space="preserve">9.2 Region selection</w:t>
      </w:r>
    </w:p>
    <w:p>
      <w:pPr>
        <w:pStyle w:val="Heading2"/>
        <w:spacing w:after="140" w:before="360"/>
      </w:pPr>
      <w:r>
        <w:rPr>
          <w:rFonts w:ascii="Arial" w:cs="Arial" w:eastAsia="Arial" w:hAnsi="Arial"/>
          <w:b/>
          <w:bCs/>
          <w:color w:val="1A1A1A"/>
          <w:sz w:val="28"/>
          <w:szCs w:val="28"/>
        </w:rPr>
        <w:t xml:space="preserve">9.3 Backend language and framework</w:t>
      </w:r>
    </w:p>
    <w:p>
      <w:pPr>
        <w:pStyle w:val="Heading2"/>
        <w:spacing w:after="140" w:before="360"/>
      </w:pPr>
      <w:r>
        <w:rPr>
          <w:rFonts w:ascii="Arial" w:cs="Arial" w:eastAsia="Arial" w:hAnsi="Arial"/>
          <w:b/>
          <w:bCs/>
          <w:color w:val="1A1A1A"/>
          <w:sz w:val="28"/>
          <w:szCs w:val="28"/>
        </w:rPr>
        <w:t xml:space="preserve">9.4 Frontend frameworks</w:t>
      </w:r>
    </w:p>
    <w:p>
      <w:pPr>
        <w:pStyle w:val="Heading2"/>
        <w:spacing w:after="140" w:before="360"/>
      </w:pPr>
      <w:r>
        <w:rPr>
          <w:rFonts w:ascii="Arial" w:cs="Arial" w:eastAsia="Arial" w:hAnsi="Arial"/>
          <w:b/>
          <w:bCs/>
          <w:color w:val="1A1A1A"/>
          <w:sz w:val="28"/>
          <w:szCs w:val="28"/>
        </w:rPr>
        <w:t xml:space="preserve">9.5 Real-time media vendor</w:t>
      </w:r>
    </w:p>
    <w:p>
      <w:pPr>
        <w:pStyle w:val="Heading2"/>
        <w:spacing w:after="140" w:before="360"/>
      </w:pPr>
      <w:r>
        <w:rPr>
          <w:rFonts w:ascii="Arial" w:cs="Arial" w:eastAsia="Arial" w:hAnsi="Arial"/>
          <w:b/>
          <w:bCs/>
          <w:color w:val="1A1A1A"/>
          <w:sz w:val="28"/>
          <w:szCs w:val="28"/>
        </w:rPr>
        <w:t xml:space="preserve">9.6 Vector database</w:t>
      </w:r>
    </w:p>
    <w:p>
      <w:pPr>
        <w:pStyle w:val="Heading2"/>
        <w:spacing w:after="140" w:before="360"/>
      </w:pPr>
      <w:r>
        <w:rPr>
          <w:rFonts w:ascii="Arial" w:cs="Arial" w:eastAsia="Arial" w:hAnsi="Arial"/>
          <w:b/>
          <w:bCs/>
          <w:color w:val="1A1A1A"/>
          <w:sz w:val="28"/>
          <w:szCs w:val="28"/>
        </w:rPr>
        <w:t xml:space="preserve">9.7 Graph database</w:t>
      </w:r>
    </w:p>
    <w:p>
      <w:pPr>
        <w:pStyle w:val="Heading2"/>
        <w:spacing w:after="140" w:before="360"/>
      </w:pPr>
      <w:r>
        <w:rPr>
          <w:rFonts w:ascii="Arial" w:cs="Arial" w:eastAsia="Arial" w:hAnsi="Arial"/>
          <w:b/>
          <w:bCs/>
          <w:color w:val="1A1A1A"/>
          <w:sz w:val="28"/>
          <w:szCs w:val="28"/>
        </w:rPr>
        <w:t xml:space="preserve">9.8 LLM providers and models</w:t>
      </w:r>
    </w:p>
    <w:p>
      <w:pPr>
        <w:spacing w:after="120" w:before="80" w:line="320"/>
      </w:pPr>
      <w:r>
        <w:rPr>
          <w:rFonts w:ascii="Arial" w:cs="Arial" w:eastAsia="Arial" w:hAnsi="Arial"/>
          <w:color w:val="1A1A1A"/>
          <w:sz w:val="22"/>
          <w:szCs w:val="22"/>
        </w:rPr>
        <w:t xml:space="preserve">The bounded provider set is committed in the Platform Specification. The specific provider and model in each tier slot at launch is decided after the launch evaluation cycle. Recommended starting registry:</w:t>
      </w:r>
    </w:p>
    <w:p>
      <w:pPr>
        <w:spacing w:after="120" w:before="80" w:line="320"/>
      </w:pPr>
      <w:r>
        <w:rPr>
          <w:rFonts w:ascii="Arial" w:cs="Arial" w:eastAsia="Arial" w:hAnsi="Arial"/>
          <w:color w:val="1A1A1A"/>
          <w:sz w:val="22"/>
          <w:szCs w:val="22"/>
        </w:rPr>
        <w:t xml:space="preserve">Final assignments confirmed at the launch evaluation cycle. The registry is data; assignments evolve weekly thereafter.</w:t>
      </w:r>
    </w:p>
    <w:p>
      <w:pPr>
        <w:pStyle w:val="Heading2"/>
        <w:spacing w:after="140" w:before="360"/>
      </w:pPr>
      <w:r>
        <w:rPr>
          <w:rFonts w:ascii="Arial" w:cs="Arial" w:eastAsia="Arial" w:hAnsi="Arial"/>
          <w:b/>
          <w:bCs/>
          <w:color w:val="1A1A1A"/>
          <w:sz w:val="28"/>
          <w:szCs w:val="28"/>
        </w:rPr>
        <w:t xml:space="preserve">9.9 STT and TTS providers</w:t>
      </w:r>
    </w:p>
    <w:p>
      <w:pPr>
        <w:pStyle w:val="Heading2"/>
        <w:spacing w:after="140" w:before="360"/>
      </w:pPr>
      <w:r>
        <w:rPr>
          <w:rFonts w:ascii="Arial" w:cs="Arial" w:eastAsia="Arial" w:hAnsi="Arial"/>
          <w:b/>
          <w:bCs/>
          <w:color w:val="1A1A1A"/>
          <w:sz w:val="28"/>
          <w:szCs w:val="28"/>
        </w:rPr>
        <w:t xml:space="preserve">9.10 Identity provider</w:t>
      </w:r>
    </w:p>
    <w:p>
      <w:pPr>
        <w:pStyle w:val="Heading2"/>
        <w:spacing w:after="140" w:before="360"/>
      </w:pPr>
      <w:r>
        <w:rPr>
          <w:rFonts w:ascii="Arial" w:cs="Arial" w:eastAsia="Arial" w:hAnsi="Arial"/>
          <w:b/>
          <w:bCs/>
          <w:color w:val="1A1A1A"/>
          <w:sz w:val="28"/>
          <w:szCs w:val="28"/>
        </w:rPr>
        <w:t xml:space="preserve">9.11 Payments</w:t>
      </w:r>
    </w:p>
    <w:p>
      <w:pPr>
        <w:pStyle w:val="Heading2"/>
        <w:spacing w:after="140" w:before="360"/>
      </w:pPr>
      <w:r>
        <w:rPr>
          <w:rFonts w:ascii="Arial" w:cs="Arial" w:eastAsia="Arial" w:hAnsi="Arial"/>
          <w:b/>
          <w:bCs/>
          <w:color w:val="1A1A1A"/>
          <w:sz w:val="28"/>
          <w:szCs w:val="28"/>
        </w:rPr>
        <w:t xml:space="preserve">9.12 Observability and operations</w:t>
      </w:r>
    </w:p>
    <w:p>
      <w:pPr>
        <w:pStyle w:val="Heading2"/>
        <w:spacing w:after="140" w:before="360"/>
      </w:pPr>
      <w:r>
        <w:rPr>
          <w:rFonts w:ascii="Arial" w:cs="Arial" w:eastAsia="Arial" w:hAnsi="Arial"/>
          <w:b/>
          <w:bCs/>
          <w:color w:val="1A1A1A"/>
          <w:sz w:val="28"/>
          <w:szCs w:val="28"/>
        </w:rPr>
        <w:t xml:space="preserve">9.13 Decisions explicitly deferred</w:t>
      </w:r>
    </w:p>
    <w:p>
      <w:pPr>
        <w:spacing w:after="120" w:before="80" w:line="320"/>
      </w:pPr>
      <w:r>
        <w:rPr>
          <w:rFonts w:ascii="Arial" w:cs="Arial" w:eastAsia="Arial" w:hAnsi="Arial"/>
          <w:color w:val="1A1A1A"/>
          <w:sz w:val="22"/>
          <w:szCs w:val="22"/>
        </w:rPr>
        <w:t xml:space="preserve">Self-hosted open-weight model infrastructure: deferred. Open source tier served through managed inference (Together, Fireworks, Replicate, Groq) for v1. Self-hosting if costs at scale demand it later.</w:t>
      </w:r>
    </w:p>
    <w:p>
      <w:pPr>
        <w:spacing w:after="120" w:before="80" w:line="320"/>
      </w:pPr>
      <w:r>
        <w:rPr>
          <w:rFonts w:ascii="Arial" w:cs="Arial" w:eastAsia="Arial" w:hAnsi="Arial"/>
          <w:color w:val="1A1A1A"/>
          <w:sz w:val="22"/>
          <w:szCs w:val="22"/>
        </w:rPr>
        <w:t xml:space="preserve">Multi-region active-active deployment: deferred. Single region until specific demand justifies.</w:t>
      </w:r>
    </w:p>
    <w:p>
      <w:pPr>
        <w:spacing w:after="120" w:before="80" w:line="320"/>
      </w:pPr>
      <w:r>
        <w:rPr>
          <w:rFonts w:ascii="Arial" w:cs="Arial" w:eastAsia="Arial" w:hAnsi="Arial"/>
          <w:color w:val="1A1A1A"/>
          <w:sz w:val="22"/>
          <w:szCs w:val="22"/>
        </w:rPr>
        <w:t xml:space="preserve">Custom embedding models: deferred. Use multilingual-E5 or equivalent off-the-shelf for v1; fine-tune later if measurable benefit.</w:t>
      </w:r>
    </w:p>
    <w:p>
      <w:pPr>
        <w:spacing w:after="120" w:before="80" w:line="320"/>
      </w:pPr>
      <w:r>
        <w:rPr>
          <w:rFonts w:ascii="Arial" w:cs="Arial" w:eastAsia="Arial" w:hAnsi="Arial"/>
          <w:color w:val="1A1A1A"/>
          <w:sz w:val="22"/>
          <w:szCs w:val="22"/>
        </w:rPr>
        <w:t xml:space="preserve">Knowledge graph reasoning beyond Neo4j queries: deferred. Cypher is sufficient for v1.</w:t>
      </w:r>
    </w:p>
    <w:p>
      <w:pPr>
        <w:pStyle w:val="Heading1"/>
        <w:spacing w:after="200" w:before="480"/>
      </w:pPr>
      <w:r>
        <w:rPr>
          <w:rFonts w:ascii="Arial" w:cs="Arial" w:eastAsia="Arial" w:hAnsi="Arial"/>
          <w:b/>
          <w:bCs/>
          <w:color w:val="4A3FC7"/>
          <w:sz w:val="36"/>
          <w:szCs w:val="36"/>
        </w:rPr>
        <w:t xml:space="preserve">10. Admin Console Architecture (v2 — new)</w:t>
      </w:r>
    </w:p>
    <w:p>
      <w:pPr>
        <w:spacing w:after="120" w:before="80" w:line="320"/>
      </w:pPr>
      <w:r>
        <w:rPr>
          <w:rFonts w:ascii="Arial" w:cs="Arial" w:eastAsia="Arial" w:hAnsi="Arial"/>
          <w:color w:val="1A1A1A"/>
          <w:sz w:val="22"/>
          <w:szCs w:val="22"/>
        </w:rPr>
        <w:t xml:space="preserve">The Admin Console is the operational surface for the platform team. This section specifies its architecture. The complete capability specification is in the Admin Console Specification document; this section covers how the console fits into the system architecturally.</w:t>
      </w:r>
    </w:p>
    <w:p>
      <w:pPr>
        <w:pStyle w:val="Heading2"/>
        <w:spacing w:after="140" w:before="360"/>
      </w:pPr>
      <w:r>
        <w:rPr>
          <w:rFonts w:ascii="Arial" w:cs="Arial" w:eastAsia="Arial" w:hAnsi="Arial"/>
          <w:b/>
          <w:bCs/>
          <w:color w:val="1A1A1A"/>
          <w:sz w:val="28"/>
          <w:szCs w:val="28"/>
        </w:rPr>
        <w:t xml:space="preserve">9.1 Application structure</w:t>
      </w:r>
    </w:p>
    <w:p>
      <w:pPr>
        <w:spacing w:after="120" w:before="80" w:line="320"/>
      </w:pPr>
      <w:r>
        <w:rPr>
          <w:rFonts w:ascii="Arial" w:cs="Arial" w:eastAsia="Arial" w:hAnsi="Arial"/>
          <w:color w:val="1A1A1A"/>
          <w:sz w:val="22"/>
          <w:szCs w:val="22"/>
        </w:rPr>
        <w:t xml:space="preserve">The Admin Console is a separate web application from the founder-facing client. It is served from a different subdomain (admin.virtualoffice.ai or equivalent), has its own authentication flow, and uses a separate session and CSRF token namespace. It calls the same backend services as the founder client but through admin-specific API routes that enforce admin authorisation policies.</w:t>
      </w:r>
    </w:p>
    <w:p>
      <w:pPr>
        <w:spacing w:after="120" w:before="80" w:line="320"/>
      </w:pPr>
      <w:r>
        <w:rPr>
          <w:rFonts w:ascii="Arial" w:cs="Arial" w:eastAsia="Arial" w:hAnsi="Arial"/>
          <w:color w:val="1A1A1A"/>
          <w:sz w:val="22"/>
          <w:szCs w:val="22"/>
        </w:rPr>
        <w:t xml:space="preserve">Why separate web app: blast radius reduction. A bug in the admin console must not affect founder traffic. A compromise of admin credentials must not produce a path into founder data without crossing additional consent and audit boundaries.</w:t>
      </w:r>
    </w:p>
    <w:p>
      <w:pPr>
        <w:pStyle w:val="Heading2"/>
        <w:spacing w:after="140" w:before="360"/>
      </w:pPr>
      <w:r>
        <w:rPr>
          <w:rFonts w:ascii="Arial" w:cs="Arial" w:eastAsia="Arial" w:hAnsi="Arial"/>
          <w:b/>
          <w:bCs/>
          <w:color w:val="1A1A1A"/>
          <w:sz w:val="28"/>
          <w:szCs w:val="28"/>
        </w:rPr>
        <w:t xml:space="preserve">9.2 Permission model</w:t>
      </w:r>
    </w:p>
    <w:p>
      <w:pPr>
        <w:spacing w:after="120" w:before="80" w:line="320"/>
      </w:pPr>
      <w:r>
        <w:rPr>
          <w:rFonts w:ascii="Arial" w:cs="Arial" w:eastAsia="Arial" w:hAnsi="Arial"/>
          <w:color w:val="1A1A1A"/>
          <w:sz w:val="22"/>
          <w:szCs w:val="22"/>
        </w:rPr>
        <w:t xml:space="preserve">Three named roles at v1: ops, customer_success, trust_safety. A super_admin role exists for the founder of the platform and for emergency operations; super_admin can perform any action but every action is heavily audited. At v1 launch, one ops team member commonly carries all three named roles; permission scoping exists in the model so that as the team grows, role differentiation is configuration, not refactoring.</w:t>
      </w:r>
    </w:p>
    <w:p>
      <w:pPr>
        <w:spacing w:after="120" w:before="80" w:line="320"/>
      </w:pPr>
      <w:r>
        <w:rPr>
          <w:rFonts w:ascii="Arial" w:cs="Arial" w:eastAsia="Arial" w:hAnsi="Arial"/>
          <w:color w:val="1A1A1A"/>
          <w:sz w:val="22"/>
          <w:szCs w:val="22"/>
        </w:rPr>
        <w:t xml:space="preserve">Per-resource permissions are JSON-encoded on the admin user record and enforced at the API layer. Sensitive operations (founder support actions, content moderation actions, pricing rule changes, agent retirement) require justification text and produce audit log entries with the justification preserved.</w:t>
      </w:r>
    </w:p>
    <w:p>
      <w:pPr>
        <w:pStyle w:val="Heading2"/>
        <w:spacing w:after="140" w:before="360"/>
      </w:pPr>
      <w:r>
        <w:rPr>
          <w:rFonts w:ascii="Arial" w:cs="Arial" w:eastAsia="Arial" w:hAnsi="Arial"/>
          <w:b/>
          <w:bCs/>
          <w:color w:val="1A1A1A"/>
          <w:sz w:val="28"/>
          <w:szCs w:val="28"/>
        </w:rPr>
        <w:t xml:space="preserve">9.3 Audit logging</w:t>
      </w:r>
    </w:p>
    <w:p>
      <w:pPr>
        <w:spacing w:after="120" w:before="80" w:line="320"/>
      </w:pPr>
      <w:r>
        <w:rPr>
          <w:rFonts w:ascii="Arial" w:cs="Arial" w:eastAsia="Arial" w:hAnsi="Arial"/>
          <w:color w:val="1A1A1A"/>
          <w:sz w:val="22"/>
          <w:szCs w:val="22"/>
        </w:rPr>
        <w:t xml:space="preserve">Every admin action produces an audit log entry. Append-only. Includes the admin user, action type, target, action payload, timestamp, and justification (when required). Audit logs are queryable via the admin console for the team's own review and exportable for compliance audits. Audit logs are tenant-isolated only in the sense that founder-specific actions show up in the tenant's admin-action audit (visible to the founder under transparency surfaces); the platform's own audit logs are not founder-facing.</w:t>
      </w:r>
    </w:p>
    <w:p>
      <w:pPr>
        <w:pStyle w:val="Heading2"/>
        <w:spacing w:after="140" w:before="360"/>
      </w:pPr>
      <w:r>
        <w:rPr>
          <w:rFonts w:ascii="Arial" w:cs="Arial" w:eastAsia="Arial" w:hAnsi="Arial"/>
          <w:b/>
          <w:bCs/>
          <w:color w:val="1A1A1A"/>
          <w:sz w:val="28"/>
          <w:szCs w:val="28"/>
        </w:rPr>
        <w:t xml:space="preserve">9.4 Founder support consent flow</w:t>
      </w:r>
    </w:p>
    <w:p>
      <w:pPr>
        <w:spacing w:after="120" w:before="80" w:line="320"/>
      </w:pPr>
      <w:r>
        <w:rPr>
          <w:rFonts w:ascii="Arial" w:cs="Arial" w:eastAsia="Arial" w:hAnsi="Arial"/>
          <w:color w:val="1A1A1A"/>
          <w:sz w:val="22"/>
          <w:szCs w:val="22"/>
        </w:rPr>
        <w:t xml:space="preserve">Founder support is the highest-stakes admin operation because it crosses the founder-tenant boundary. The flow is:</w:t>
      </w:r>
    </w:p>
    <w:p>
      <w:pPr>
        <w:pStyle w:val="ListParagraph"/>
        <w:numPr>
          <w:ilvl w:val="0"/>
          <w:numId w:val="3"/>
        </w:numPr>
        <w:spacing w:after="60" w:before="60" w:line="300"/>
      </w:pPr>
      <w:r>
        <w:rPr>
          <w:rFonts w:ascii="Arial" w:cs="Arial" w:eastAsia="Arial" w:hAnsi="Arial"/>
          <w:color w:val="1A1A1A"/>
          <w:sz w:val="22"/>
          <w:szCs w:val="22"/>
        </w:rPr>
        <w:t xml:space="preserve">Founder requests support, OR an issue is detected requiring proactive support.</w:t>
      </w:r>
    </w:p>
    <w:p>
      <w:pPr>
        <w:pStyle w:val="ListParagraph"/>
        <w:numPr>
          <w:ilvl w:val="0"/>
          <w:numId w:val="3"/>
        </w:numPr>
        <w:spacing w:after="60" w:before="60" w:line="300"/>
      </w:pPr>
      <w:r>
        <w:rPr>
          <w:rFonts w:ascii="Arial" w:cs="Arial" w:eastAsia="Arial" w:hAnsi="Arial"/>
          <w:color w:val="1A1A1A"/>
          <w:sz w:val="22"/>
          <w:szCs w:val="22"/>
        </w:rPr>
        <w:t xml:space="preserve">Admin user opens the founder's account. Read-only metadata is visible (sign-up date, plan, recent activity counts) without consent.</w:t>
      </w:r>
    </w:p>
    <w:p>
      <w:pPr>
        <w:pStyle w:val="ListParagraph"/>
        <w:numPr>
          <w:ilvl w:val="0"/>
          <w:numId w:val="3"/>
        </w:numPr>
        <w:spacing w:after="60" w:before="60" w:line="300"/>
      </w:pPr>
      <w:r>
        <w:rPr>
          <w:rFonts w:ascii="Arial" w:cs="Arial" w:eastAsia="Arial" w:hAnsi="Arial"/>
          <w:color w:val="1A1A1A"/>
          <w:sz w:val="22"/>
          <w:szCs w:val="22"/>
        </w:rPr>
        <w:t xml:space="preserve">To view meetings, brain content, or ledger content, admin user must request consent.</w:t>
      </w:r>
    </w:p>
    <w:p>
      <w:pPr>
        <w:pStyle w:val="ListParagraph"/>
        <w:numPr>
          <w:ilvl w:val="0"/>
          <w:numId w:val="3"/>
        </w:numPr>
        <w:spacing w:after="60" w:before="60" w:line="300"/>
      </w:pPr>
      <w:r>
        <w:rPr>
          <w:rFonts w:ascii="Arial" w:cs="Arial" w:eastAsia="Arial" w:hAnsi="Arial"/>
          <w:color w:val="1A1A1A"/>
          <w:sz w:val="22"/>
          <w:szCs w:val="22"/>
        </w:rPr>
        <w:t xml:space="preserve">Founder receives consent request via push notification, in-app alert, and email. Request specifies what will be accessed, why, and for how long.</w:t>
      </w:r>
    </w:p>
    <w:p>
      <w:pPr>
        <w:pStyle w:val="ListParagraph"/>
        <w:numPr>
          <w:ilvl w:val="0"/>
          <w:numId w:val="3"/>
        </w:numPr>
        <w:spacing w:after="60" w:before="60" w:line="300"/>
      </w:pPr>
      <w:r>
        <w:rPr>
          <w:rFonts w:ascii="Arial" w:cs="Arial" w:eastAsia="Arial" w:hAnsi="Arial"/>
          <w:color w:val="1A1A1A"/>
          <w:sz w:val="22"/>
          <w:szCs w:val="22"/>
        </w:rPr>
        <w:t xml:space="preserve">Founder grants per-incident consent (default) or always-allow (toggle in settings, rarely used).</w:t>
      </w:r>
    </w:p>
    <w:p>
      <w:pPr>
        <w:pStyle w:val="ListParagraph"/>
        <w:numPr>
          <w:ilvl w:val="0"/>
          <w:numId w:val="3"/>
        </w:numPr>
        <w:spacing w:after="60" w:before="60" w:line="300"/>
      </w:pPr>
      <w:r>
        <w:rPr>
          <w:rFonts w:ascii="Arial" w:cs="Arial" w:eastAsia="Arial" w:hAnsi="Arial"/>
          <w:color w:val="1A1A1A"/>
          <w:sz w:val="22"/>
          <w:szCs w:val="22"/>
        </w:rPr>
        <w:t xml:space="preserve">Consent token is recorded with hash of consent context. Admin user can now access the specified surfaces.</w:t>
      </w:r>
    </w:p>
    <w:p>
      <w:pPr>
        <w:pStyle w:val="ListParagraph"/>
        <w:numPr>
          <w:ilvl w:val="0"/>
          <w:numId w:val="3"/>
        </w:numPr>
        <w:spacing w:after="60" w:before="60" w:line="300"/>
      </w:pPr>
      <w:r>
        <w:rPr>
          <w:rFonts w:ascii="Arial" w:cs="Arial" w:eastAsia="Arial" w:hAnsi="Arial"/>
          <w:color w:val="1A1A1A"/>
          <w:sz w:val="22"/>
          <w:szCs w:val="22"/>
        </w:rPr>
        <w:t xml:space="preserve">Every action during the support session is audited.</w:t>
      </w:r>
    </w:p>
    <w:p>
      <w:pPr>
        <w:pStyle w:val="ListParagraph"/>
        <w:numPr>
          <w:ilvl w:val="0"/>
          <w:numId w:val="3"/>
        </w:numPr>
        <w:spacing w:after="60" w:before="60" w:line="300"/>
      </w:pPr>
      <w:r>
        <w:rPr>
          <w:rFonts w:ascii="Arial" w:cs="Arial" w:eastAsia="Arial" w:hAnsi="Arial"/>
          <w:color w:val="1A1A1A"/>
          <w:sz w:val="22"/>
          <w:szCs w:val="22"/>
        </w:rPr>
        <w:t xml:space="preserve">Session ends explicitly or automatically after a maximum window (24 hours).</w:t>
      </w:r>
    </w:p>
    <w:p>
      <w:pPr>
        <w:spacing w:after="120" w:before="80" w:line="320"/>
      </w:pPr>
      <w:r>
        <w:rPr>
          <w:rFonts w:ascii="Arial" w:cs="Arial" w:eastAsia="Arial" w:hAnsi="Arial"/>
          <w:color w:val="1A1A1A"/>
          <w:sz w:val="22"/>
          <w:szCs w:val="22"/>
        </w:rPr>
        <w:t xml:space="preserve">Always-allow consent is recorded the same way but skips the per-incident notification. Founders are reminded quarterly that always-allow is enabled and offered to revoke.</w:t>
      </w:r>
    </w:p>
    <w:p>
      <w:pPr>
        <w:pStyle w:val="Heading2"/>
        <w:spacing w:after="140" w:before="360"/>
      </w:pPr>
      <w:r>
        <w:rPr>
          <w:rFonts w:ascii="Arial" w:cs="Arial" w:eastAsia="Arial" w:hAnsi="Arial"/>
          <w:b/>
          <w:bCs/>
          <w:color w:val="1A1A1A"/>
          <w:sz w:val="28"/>
          <w:szCs w:val="28"/>
        </w:rPr>
        <w:t xml:space="preserve">9.5 Admin observability</w:t>
      </w:r>
    </w:p>
    <w:p>
      <w:pPr>
        <w:spacing w:after="120" w:before="80" w:line="320"/>
      </w:pPr>
      <w:r>
        <w:rPr>
          <w:rFonts w:ascii="Arial" w:cs="Arial" w:eastAsia="Arial" w:hAnsi="Arial"/>
          <w:color w:val="1A1A1A"/>
          <w:sz w:val="22"/>
          <w:szCs w:val="22"/>
        </w:rPr>
        <w:t xml:space="preserve">The Admin Console has its own observability stack — its own logs, metrics, and traces — distinct from the founder-facing system. This separation matters: a debugging session in production data viewing must not accidentally end up in founder-facing dashboards.</w:t>
      </w:r>
    </w:p>
    <w:p>
      <w:pPr>
        <w:spacing w:after="120" w:before="80" w:line="320"/>
      </w:pPr>
      <w:r>
        <w:rPr>
          <w:rFonts w:ascii="Arial" w:cs="Arial" w:eastAsia="Arial" w:hAnsi="Arial"/>
          <w:color w:val="1A1A1A"/>
          <w:sz w:val="22"/>
          <w:szCs w:val="22"/>
        </w:rPr>
        <w:t xml:space="preserve">Admin observability data is retained for 90 days online and one year archived, in alignment with audit log retention.</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11. Build Sequence and Team Operating Model</w:t>
      </w:r>
    </w:p>
    <w:p>
      <w:pPr>
        <w:spacing w:after="120" w:before="80" w:line="320"/>
      </w:pPr>
      <w:r>
        <w:rPr>
          <w:rFonts w:ascii="Arial" w:cs="Arial" w:eastAsia="Arial" w:hAnsi="Arial"/>
          <w:color w:val="1A1A1A"/>
          <w:sz w:val="22"/>
          <w:szCs w:val="22"/>
        </w:rPr>
        <w:t xml:space="preserve">This section translates the architecture into a build plan. It is not a project plan with dates — the days-to-weeks tempo means the team builds in increments rather than to a Gantt chart — but it sequences the work in the order that minimises blocked dependencies and maximises early founder feedback.</w:t>
      </w:r>
    </w:p>
    <w:p>
      <w:pPr>
        <w:pStyle w:val="Heading2"/>
        <w:spacing w:after="140" w:before="360"/>
      </w:pPr>
      <w:r>
        <w:rPr>
          <w:rFonts w:ascii="Arial" w:cs="Arial" w:eastAsia="Arial" w:hAnsi="Arial"/>
          <w:b/>
          <w:bCs/>
          <w:color w:val="1A1A1A"/>
          <w:sz w:val="28"/>
          <w:szCs w:val="28"/>
        </w:rPr>
        <w:t xml:space="preserve">11.1 Build phases (v2 — eight phases)</w:t>
      </w:r>
    </w:p>
    <w:p>
      <w:pPr>
        <w:spacing w:after="120" w:before="80" w:line="320"/>
      </w:pPr>
      <w:r>
        <w:rPr>
          <w:rFonts w:ascii="Arial" w:cs="Arial" w:eastAsia="Arial" w:hAnsi="Arial"/>
          <w:color w:val="1A1A1A"/>
          <w:sz w:val="22"/>
          <w:szCs w:val="22"/>
        </w:rPr>
        <w:t xml:space="preserve">v1 of the architecture specified a six-phase build sequence covering Foundation through Marketplace and Human Experts. v2 expands this to eight phases by adding the Admin Console build (Phase 7) and a Hardening and Launch Prep phase (Phase 8). The eight phases align with the launch shape locked in the Strategic Vision: Phase 0 design partner cohort, Phase 1 expanded private beta, Phase 2 limited/full public.</w:t>
      </w:r>
    </w:p>
    <w:p>
      <w:pPr>
        <w:pStyle w:val="Heading3"/>
        <w:spacing w:after="100" w:before="280"/>
      </w:pPr>
      <w:r>
        <w:rPr>
          <w:rFonts w:ascii="Arial" w:cs="Arial" w:eastAsia="Arial" w:hAnsi="Arial"/>
          <w:b/>
          <w:bCs/>
          <w:color w:val="1A1A1A"/>
          <w:sz w:val="23"/>
          <w:szCs w:val="23"/>
        </w:rPr>
        <w:t xml:space="preserve">11.1.1 Phase 1 — Foundation</w:t>
      </w:r>
    </w:p>
    <w:p>
      <w:pPr>
        <w:spacing w:after="120" w:before="80" w:line="320"/>
      </w:pPr>
      <w:r>
        <w:rPr>
          <w:rFonts w:ascii="Arial" w:cs="Arial" w:eastAsia="Arial" w:hAnsi="Arial"/>
          <w:color w:val="1A1A1A"/>
          <w:sz w:val="22"/>
          <w:szCs w:val="22"/>
        </w:rPr>
        <w:t xml:space="preserve">Repository, environments, dev workflow. Identity and authentication via WorkOS. Tenant model and enforcement. Basic onboarding flow (sign-up to home dashboard, Quick Start onboarding intake). Target: 2-3 weeks. Outcome: a founder can sign up, complete basic onboarding, see their dashboard. No agents or meetings yet.</w:t>
      </w:r>
    </w:p>
    <w:p>
      <w:pPr>
        <w:pStyle w:val="Heading3"/>
        <w:spacing w:after="100" w:before="280"/>
      </w:pPr>
      <w:r>
        <w:rPr>
          <w:rFonts w:ascii="Arial" w:cs="Arial" w:eastAsia="Arial" w:hAnsi="Arial"/>
          <w:b/>
          <w:bCs/>
          <w:color w:val="1A1A1A"/>
          <w:sz w:val="23"/>
          <w:szCs w:val="23"/>
        </w:rPr>
        <w:t xml:space="preserve">11.1.2 Phase 2 — Single-agent meeting</w:t>
      </w:r>
    </w:p>
    <w:p>
      <w:pPr>
        <w:spacing w:after="120" w:before="80" w:line="320"/>
      </w:pPr>
      <w:r>
        <w:rPr>
          <w:rFonts w:ascii="Arial" w:cs="Arial" w:eastAsia="Arial" w:hAnsi="Arial"/>
          <w:color w:val="1A1A1A"/>
          <w:sz w:val="22"/>
          <w:szCs w:val="22"/>
        </w:rPr>
        <w:t xml:space="preserve">Agent runtime with one agent. Routing layer skeleton. LiveKit integration for audio. STT pipeline (English). TTS for agent contributions (English). Meeting room mobile UI. End-to-end meeting flow. Target: 3-4 weeks after Phase 1. Outcome: a founder can have a real meeting with one digital agent.</w:t>
      </w:r>
    </w:p>
    <w:p>
      <w:pPr>
        <w:pStyle w:val="Heading3"/>
        <w:spacing w:after="100" w:before="280"/>
      </w:pPr>
      <w:r>
        <w:rPr>
          <w:rFonts w:ascii="Arial" w:cs="Arial" w:eastAsia="Arial" w:hAnsi="Arial"/>
          <w:b/>
          <w:bCs/>
          <w:color w:val="1A1A1A"/>
          <w:sz w:val="23"/>
          <w:szCs w:val="23"/>
        </w:rPr>
        <w:t xml:space="preserve">11.1.3 Phase 3 — Brain and ledger</w:t>
      </w:r>
    </w:p>
    <w:p>
      <w:pPr>
        <w:spacing w:after="120" w:before="80" w:line="320"/>
      </w:pPr>
      <w:r>
        <w:rPr>
          <w:rFonts w:ascii="Arial" w:cs="Arial" w:eastAsia="Arial" w:hAnsi="Arial"/>
          <w:color w:val="1A1A1A"/>
          <w:sz w:val="22"/>
          <w:szCs w:val="22"/>
        </w:rPr>
        <w:t xml:space="preserve">Brain schema and storage. Brain extraction from meetings. Brain transparency surface (read, edit, audit). Ledger schema and capture from end-of-meeting reviews. Action lifecycle with seven v1 states. Currently Active default view. Target: 3-4 weeks after Phase 2. Outcome: meetings produce captured decisions and actions; founder can review and edit the brain.</w:t>
      </w:r>
    </w:p>
    <w:p>
      <w:pPr>
        <w:pStyle w:val="Heading3"/>
        <w:spacing w:after="100" w:before="280"/>
      </w:pPr>
      <w:r>
        <w:rPr>
          <w:rFonts w:ascii="Arial" w:cs="Arial" w:eastAsia="Arial" w:hAnsi="Arial"/>
          <w:b/>
          <w:bCs/>
          <w:color w:val="1A1A1A"/>
          <w:sz w:val="23"/>
          <w:szCs w:val="23"/>
        </w:rPr>
        <w:t xml:space="preserve">11.1.4 Phase 4 — Multi-agent meetings</w:t>
      </w:r>
    </w:p>
    <w:p>
      <w:pPr>
        <w:spacing w:after="120" w:before="80" w:line="320"/>
      </w:pPr>
      <w:r>
        <w:rPr>
          <w:rFonts w:ascii="Arial" w:cs="Arial" w:eastAsia="Arial" w:hAnsi="Arial"/>
          <w:color w:val="1A1A1A"/>
          <w:sz w:val="22"/>
          <w:szCs w:val="22"/>
        </w:rPr>
        <w:t xml:space="preserve">Default roster of 5-7 agents. Hand-raise protocol with voice acknowledgement. Inter-agent disagreement surfacing. Mid-meeting roster changes. Multi-agent end-of-meeting review with graduated confirmation. Target: 4-5 weeks after Phase 3. Outcome: full multi-agent meeting room functionality.</w:t>
      </w:r>
    </w:p>
    <w:p>
      <w:pPr>
        <w:pStyle w:val="Heading3"/>
        <w:spacing w:after="100" w:before="280"/>
      </w:pPr>
      <w:r>
        <w:rPr>
          <w:rFonts w:ascii="Arial" w:cs="Arial" w:eastAsia="Arial" w:hAnsi="Arial"/>
          <w:b/>
          <w:bCs/>
          <w:color w:val="1A1A1A"/>
          <w:sz w:val="23"/>
          <w:szCs w:val="23"/>
        </w:rPr>
        <w:t xml:space="preserve">11.1.5 Phase 5 — Routing and performance</w:t>
      </w:r>
    </w:p>
    <w:p>
      <w:pPr>
        <w:spacing w:after="120" w:before="80" w:line="320"/>
      </w:pPr>
      <w:r>
        <w:rPr>
          <w:rFonts w:ascii="Arial" w:cs="Arial" w:eastAsia="Arial" w:hAnsi="Arial"/>
          <w:color w:val="1A1A1A"/>
          <w:sz w:val="22"/>
          <w:szCs w:val="22"/>
        </w:rPr>
        <w:t xml:space="preserve">Provider registry expanded across the 5-7 LLM providers. Quality floors and per-tenant overrides. Failover and graceful degradation. Performance Service capturing six quality signals. Evaluation harness. Weekly evaluation cycle. Target: 4-5 weeks after Phase 4. Outcome: routing intelligence operational; weekly learning loop running.</w:t>
      </w:r>
    </w:p>
    <w:p>
      <w:pPr>
        <w:pStyle w:val="Heading3"/>
        <w:spacing w:after="100" w:before="280"/>
      </w:pPr>
      <w:r>
        <w:rPr>
          <w:rFonts w:ascii="Arial" w:cs="Arial" w:eastAsia="Arial" w:hAnsi="Arial"/>
          <w:b/>
          <w:bCs/>
          <w:color w:val="1A1A1A"/>
          <w:sz w:val="23"/>
          <w:szCs w:val="23"/>
        </w:rPr>
        <w:t xml:space="preserve">11.1.6 Phase 6 — Marketplace</w:t>
      </w:r>
    </w:p>
    <w:p>
      <w:pPr>
        <w:spacing w:after="120" w:before="80" w:line="320"/>
      </w:pPr>
      <w:r>
        <w:rPr>
          <w:rFonts w:ascii="Arial" w:cs="Arial" w:eastAsia="Arial" w:hAnsi="Arial"/>
          <w:color w:val="1A1A1A"/>
          <w:sz w:val="22"/>
          <w:szCs w:val="22"/>
        </w:rPr>
        <w:t xml:space="preserve">Marketplace agents catalog. Specialist invocation pattern from default roster agents. Marketplace Metering Service. Closed-network human expert onboarding (invitation-only). Engagement booking flows. Hire-and-fire architecture. Multi-dimensional ratings. My Team management surface. Target: 5-6 weeks after Phase 5. Outcome: full marketplace functionality.</w:t>
      </w:r>
    </w:p>
    <w:p>
      <w:pPr>
        <w:pStyle w:val="Heading3"/>
        <w:spacing w:after="100" w:before="280"/>
      </w:pPr>
      <w:r>
        <w:rPr>
          <w:rFonts w:ascii="Arial" w:cs="Arial" w:eastAsia="Arial" w:hAnsi="Arial"/>
          <w:b/>
          <w:bCs/>
          <w:color w:val="1A1A1A"/>
          <w:sz w:val="23"/>
          <w:szCs w:val="23"/>
        </w:rPr>
        <w:t xml:space="preserve">11.1.7 Phase 7 — Admin Console (v2 — new)</w:t>
      </w:r>
    </w:p>
    <w:p>
      <w:pPr>
        <w:spacing w:after="120" w:before="80" w:line="320"/>
      </w:pPr>
      <w:r>
        <w:rPr>
          <w:rFonts w:ascii="Arial" w:cs="Arial" w:eastAsia="Arial" w:hAnsi="Arial"/>
          <w:color w:val="1A1A1A"/>
          <w:sz w:val="22"/>
          <w:szCs w:val="22"/>
        </w:rPr>
        <w:t xml:space="preserve">Agent management. Human expert invitation and management. Founder support (consent-gated). Quality monitoring (tabular signals view at v1 launch; charts and alerts in v1.5). Simple pricing rules. Content moderation queue. Basic operational analytics. Target: 3-4 weeks after Phase 6. Outcome: ops team can operate the platform without engineering assistance for routine tasks.</w:t>
      </w:r>
    </w:p>
    <w:p>
      <w:pPr>
        <w:pStyle w:val="Heading3"/>
        <w:spacing w:after="100" w:before="280"/>
      </w:pPr>
      <w:r>
        <w:rPr>
          <w:rFonts w:ascii="Arial" w:cs="Arial" w:eastAsia="Arial" w:hAnsi="Arial"/>
          <w:b/>
          <w:bCs/>
          <w:color w:val="1A1A1A"/>
          <w:sz w:val="23"/>
          <w:szCs w:val="23"/>
        </w:rPr>
        <w:t xml:space="preserve">11.1.8 Phase 8 — Hardening and launch prep (v2 — new)</w:t>
      </w:r>
    </w:p>
    <w:p>
      <w:pPr>
        <w:spacing w:after="120" w:before="80" w:line="320"/>
      </w:pPr>
      <w:r>
        <w:rPr>
          <w:rFonts w:ascii="Arial" w:cs="Arial" w:eastAsia="Arial" w:hAnsi="Arial"/>
          <w:color w:val="1A1A1A"/>
          <w:sz w:val="22"/>
          <w:szCs w:val="22"/>
        </w:rPr>
        <w:t xml:space="preserve">SOC 2 Type 1 evidence collection completion. Tenant isolation testing. Hard deletion verification across all stores. Performance regression testing against P95 latency budgets. Load testing at projected Phase 1 scale. Disaster recovery drills. On-call runbook completion. Final security audit. Public communication preparation. Target: 3-4 weeks after Phase 7. Outcome: ready for Phase 1 expanded private beta launch.</w:t>
      </w:r>
    </w:p>
    <w:p>
      <w:pPr>
        <w:spacing w:after="120" w:before="80" w:line="320"/>
      </w:pPr>
      <w:r>
        <w:rPr>
          <w:rFonts w:ascii="Arial" w:cs="Arial" w:eastAsia="Arial" w:hAnsi="Arial"/>
          <w:color w:val="1A1A1A"/>
          <w:sz w:val="22"/>
          <w:szCs w:val="22"/>
        </w:rPr>
        <w:t xml:space="preserve">Phase 0 (design partner cohort, 10-15 founders) overlaps with Phase 6 and Phase 7 — design partners onboard during marketplace build and continue through Admin Console build and Hardening. Phase 1 (expanded private beta, 30-50 founders) starts when Phase 8 completes.</w:t>
      </w:r>
    </w:p>
    <w:p>
      <w:pPr>
        <w:spacing w:after="120" w:before="80" w:line="320"/>
      </w:pPr>
      <w:r>
        <w:rPr>
          <w:rFonts w:ascii="Arial" w:cs="Arial" w:eastAsia="Arial" w:hAnsi="Arial"/>
          <w:color w:val="1A1A1A"/>
          <w:sz w:val="22"/>
          <w:szCs w:val="22"/>
        </w:rPr>
        <w:t xml:space="preserve">Total build target: 28-34 weeks from Phase 1 start to Phase 8 completion. Add Phase 0 design partner work running in parallel from approximately Phase 4 onward.</w:t>
      </w:r>
    </w:p>
    <w:p>
      <w:pPr>
        <w:pStyle w:val="Heading2"/>
        <w:spacing w:after="140" w:before="360"/>
      </w:pPr>
      <w:r>
        <w:rPr>
          <w:rFonts w:ascii="Arial" w:cs="Arial" w:eastAsia="Arial" w:hAnsi="Arial"/>
          <w:b/>
          <w:bCs/>
          <w:color w:val="1A1A1A"/>
          <w:sz w:val="28"/>
          <w:szCs w:val="28"/>
        </w:rPr>
        <w:t xml:space="preserve">11.2 What is in v1 vs deferred</w:t>
      </w:r>
    </w:p>
    <w:p>
      <w:pPr>
        <w:spacing w:after="120" w:before="80" w:line="320"/>
      </w:pPr>
      <w:r>
        <w:rPr>
          <w:rFonts w:ascii="Arial" w:cs="Arial" w:eastAsia="Arial" w:hAnsi="Arial"/>
          <w:color w:val="1A1A1A"/>
          <w:sz w:val="22"/>
          <w:szCs w:val="22"/>
        </w:rPr>
        <w:t xml:space="preserve">The six phases above are v1. Beyond v1, deferred items in priority order:</w:t>
      </w:r>
    </w:p>
    <w:p>
      <w:pPr>
        <w:spacing w:after="120" w:before="80" w:line="320"/>
      </w:pPr>
      <w:r>
        <w:rPr>
          <w:rFonts w:ascii="Arial" w:cs="Arial" w:eastAsia="Arial" w:hAnsi="Arial"/>
          <w:color w:val="1A1A1A"/>
          <w:sz w:val="22"/>
          <w:szCs w:val="22"/>
        </w:rPr>
        <w:t xml:space="preserve">Additional launch languages: Telugu, Spanish, German, Arabic, French, Bahasa Indonesia. Each language is a sprint that adds the language to the registry, develops native test sets, deploys per-language prompts, and validates quality.</w:t>
      </w:r>
    </w:p>
    <w:p>
      <w:pPr>
        <w:spacing w:after="120" w:before="80" w:line="320"/>
      </w:pPr>
      <w:r>
        <w:rPr>
          <w:rFonts w:ascii="Arial" w:cs="Arial" w:eastAsia="Arial" w:hAnsi="Arial"/>
          <w:color w:val="1A1A1A"/>
          <w:sz w:val="22"/>
          <w:szCs w:val="22"/>
        </w:rPr>
        <w:t xml:space="preserve">Mobile-specific advanced features: offline-first session preparation, push-to-talk, advanced background mode handling beyond what v1 ships.</w:t>
      </w:r>
    </w:p>
    <w:p>
      <w:pPr>
        <w:spacing w:after="120" w:before="80" w:line="320"/>
      </w:pPr>
      <w:r>
        <w:rPr>
          <w:rFonts w:ascii="Arial" w:cs="Arial" w:eastAsia="Arial" w:hAnsi="Arial"/>
          <w:color w:val="1A1A1A"/>
          <w:sz w:val="22"/>
          <w:szCs w:val="22"/>
        </w:rPr>
        <w:t xml:space="preserve">Marketplace expansion: trust tier 4 (Anchor) experts, sprint and ongoing retainer models at scale, expert recommendation engine refinement.</w:t>
      </w:r>
    </w:p>
    <w:p>
      <w:pPr>
        <w:spacing w:after="120" w:before="80" w:line="320"/>
      </w:pPr>
      <w:r>
        <w:rPr>
          <w:rFonts w:ascii="Arial" w:cs="Arial" w:eastAsia="Arial" w:hAnsi="Arial"/>
          <w:color w:val="1A1A1A"/>
          <w:sz w:val="22"/>
          <w:szCs w:val="22"/>
        </w:rPr>
        <w:t xml:space="preserve">Multi-region: India region for Indian tenants, EU region for EU tenants under data residency requirements.</w:t>
      </w:r>
    </w:p>
    <w:p>
      <w:pPr>
        <w:spacing w:after="120" w:before="80" w:line="320"/>
      </w:pPr>
      <w:r>
        <w:rPr>
          <w:rFonts w:ascii="Arial" w:cs="Arial" w:eastAsia="Arial" w:hAnsi="Arial"/>
          <w:color w:val="1A1A1A"/>
          <w:sz w:val="22"/>
          <w:szCs w:val="22"/>
        </w:rPr>
        <w:t xml:space="preserve">Advanced agent capabilities: cross-session reasoning, proactive agent contributions, agent-led research projects between sessions.</w:t>
      </w:r>
    </w:p>
    <w:p>
      <w:pPr>
        <w:spacing w:after="120" w:before="80" w:line="320"/>
      </w:pPr>
      <w:r>
        <w:rPr>
          <w:rFonts w:ascii="Arial" w:cs="Arial" w:eastAsia="Arial" w:hAnsi="Arial"/>
          <w:color w:val="1A1A1A"/>
          <w:sz w:val="22"/>
          <w:szCs w:val="22"/>
        </w:rPr>
        <w:t xml:space="preserve">Self-hosted open-weight inference for cost optimisation at scale.</w:t>
      </w:r>
    </w:p>
    <w:p>
      <w:pPr>
        <w:spacing w:after="120" w:before="80" w:line="320"/>
      </w:pPr>
      <w:r>
        <w:rPr>
          <w:rFonts w:ascii="Arial" w:cs="Arial" w:eastAsia="Arial" w:hAnsi="Arial"/>
          <w:color w:val="1A1A1A"/>
          <w:sz w:val="22"/>
          <w:szCs w:val="22"/>
        </w:rPr>
        <w:t xml:space="preserve">Voice catalogue expansion and per-locale voice tuning.</w:t>
      </w:r>
    </w:p>
    <w:p>
      <w:pPr>
        <w:pStyle w:val="Heading2"/>
        <w:spacing w:after="140" w:before="360"/>
      </w:pPr>
      <w:r>
        <w:rPr>
          <w:rFonts w:ascii="Arial" w:cs="Arial" w:eastAsia="Arial" w:hAnsi="Arial"/>
          <w:b/>
          <w:bCs/>
          <w:color w:val="1A1A1A"/>
          <w:sz w:val="28"/>
          <w:szCs w:val="28"/>
        </w:rPr>
        <w:t xml:space="preserve">11.3 Team operating model</w:t>
      </w:r>
    </w:p>
    <w:p>
      <w:pPr>
        <w:pStyle w:val="Heading3"/>
        <w:spacing w:after="100" w:before="280"/>
      </w:pPr>
      <w:r>
        <w:rPr>
          <w:rFonts w:ascii="Arial" w:cs="Arial" w:eastAsia="Arial" w:hAnsi="Arial"/>
          <w:b/>
          <w:bCs/>
          <w:color w:val="1A1A1A"/>
          <w:sz w:val="23"/>
          <w:szCs w:val="23"/>
        </w:rPr>
        <w:t xml:space="preserve">11.3.1 The committed team</w:t>
      </w:r>
    </w:p>
    <w:p>
      <w:pPr>
        <w:spacing w:after="120" w:before="80" w:line="320"/>
      </w:pPr>
      <w:r>
        <w:rPr>
          <w:rFonts w:ascii="Arial" w:cs="Arial" w:eastAsia="Arial" w:hAnsi="Arial"/>
          <w:color w:val="1A1A1A"/>
          <w:sz w:val="22"/>
          <w:szCs w:val="22"/>
        </w:rPr>
        <w:t xml:space="preserve">Per the Platform Specification’s implementation section, the committed team beyond the founding engineering core:</w:t>
      </w:r>
    </w:p>
    <w:p>
      <w:pPr>
        <w:spacing w:after="120" w:before="80" w:line="320"/>
      </w:pPr>
      <w:r>
        <w:rPr>
          <w:rFonts w:ascii="Arial" w:cs="Arial" w:eastAsia="Arial" w:hAnsi="Arial"/>
          <w:color w:val="1A1A1A"/>
          <w:sz w:val="22"/>
          <w:szCs w:val="22"/>
        </w:rPr>
        <w:t xml:space="preserve">Engineering team composition at v1 launch: 4-6 senior engineers plus the founding engineering core, supported by the AI Quality Lead and Evaluation Engineer. The team is small because automation is the velocity multiplier, not headcount.</w:t>
      </w:r>
    </w:p>
    <w:p>
      <w:pPr>
        <w:pStyle w:val="Heading3"/>
        <w:spacing w:after="100" w:before="280"/>
      </w:pPr>
      <w:r>
        <w:rPr>
          <w:rFonts w:ascii="Arial" w:cs="Arial" w:eastAsia="Arial" w:hAnsi="Arial"/>
          <w:b/>
          <w:bCs/>
          <w:color w:val="1A1A1A"/>
          <w:sz w:val="23"/>
          <w:szCs w:val="23"/>
        </w:rPr>
        <w:t xml:space="preserve">11.3.2 Working rhythm</w:t>
      </w:r>
    </w:p>
    <w:p>
      <w:pPr>
        <w:spacing w:after="120" w:before="80" w:line="320"/>
      </w:pPr>
      <w:r>
        <w:rPr>
          <w:rFonts w:ascii="Arial" w:cs="Arial" w:eastAsia="Arial" w:hAnsi="Arial"/>
          <w:color w:val="1A1A1A"/>
          <w:sz w:val="22"/>
          <w:szCs w:val="22"/>
        </w:rPr>
        <w:t xml:space="preserve">Daily: code reviews, deployments, monitoring, on-call response.</w:t>
      </w:r>
    </w:p>
    <w:p>
      <w:pPr>
        <w:spacing w:after="120" w:before="80" w:line="320"/>
      </w:pPr>
      <w:r>
        <w:rPr>
          <w:rFonts w:ascii="Arial" w:cs="Arial" w:eastAsia="Arial" w:hAnsi="Arial"/>
          <w:color w:val="1A1A1A"/>
          <w:sz w:val="22"/>
          <w:szCs w:val="22"/>
        </w:rPr>
        <w:t xml:space="preserve">Weekly: architecture reviews on Mondays, retro on Fridays. AI Quality Lead reviews registry update proposal.</w:t>
      </w:r>
    </w:p>
    <w:p>
      <w:pPr>
        <w:spacing w:after="120" w:before="80" w:line="320"/>
      </w:pPr>
      <w:r>
        <w:rPr>
          <w:rFonts w:ascii="Arial" w:cs="Arial" w:eastAsia="Arial" w:hAnsi="Arial"/>
          <w:color w:val="1A1A1A"/>
          <w:sz w:val="22"/>
          <w:szCs w:val="22"/>
        </w:rPr>
        <w:t xml:space="preserve">Monthly: per-language quality reviews, performance trends, capacity planning.</w:t>
      </w:r>
    </w:p>
    <w:p>
      <w:pPr>
        <w:spacing w:after="120" w:before="80" w:line="320"/>
      </w:pPr>
      <w:r>
        <w:rPr>
          <w:rFonts w:ascii="Arial" w:cs="Arial" w:eastAsia="Arial" w:hAnsi="Arial"/>
          <w:color w:val="1A1A1A"/>
          <w:sz w:val="22"/>
          <w:szCs w:val="22"/>
        </w:rPr>
        <w:t xml:space="preserve">Quarterly: major persona revisions, test set expansion, vendor reviews, team retrospect.</w:t>
      </w:r>
    </w:p>
    <w:p>
      <w:pPr>
        <w:pStyle w:val="Heading2"/>
        <w:spacing w:after="140" w:before="360"/>
      </w:pPr>
      <w:r>
        <w:rPr>
          <w:rFonts w:ascii="Arial" w:cs="Arial" w:eastAsia="Arial" w:hAnsi="Arial"/>
          <w:b/>
          <w:bCs/>
          <w:color w:val="1A1A1A"/>
          <w:sz w:val="28"/>
          <w:szCs w:val="28"/>
        </w:rPr>
        <w:t xml:space="preserve">11.4 Risk register and mitigations</w:t>
      </w:r>
    </w:p>
    <w:p>
      <w:pPr>
        <w:spacing w:after="120" w:before="80" w:line="320"/>
      </w:pPr>
      <w:r>
        <w:rPr>
          <w:rFonts w:ascii="Arial" w:cs="Arial" w:eastAsia="Arial" w:hAnsi="Arial"/>
          <w:color w:val="1A1A1A"/>
          <w:sz w:val="22"/>
          <w:szCs w:val="22"/>
        </w:rPr>
        <w:t xml:space="preserve">Architectural risks with active mitigations:</w:t>
      </w:r>
    </w:p>
    <w:p>
      <w:pPr>
        <w:pStyle w:val="Heading1"/>
        <w:spacing w:after="200" w:before="480"/>
      </w:pPr>
      <w:r>
        <w:rPr>
          <w:rFonts w:ascii="Arial" w:cs="Arial" w:eastAsia="Arial" w:hAnsi="Arial"/>
          <w:b/>
          <w:bCs/>
          <w:color w:val="4A3FC7"/>
          <w:sz w:val="36"/>
          <w:szCs w:val="36"/>
        </w:rPr>
        <w:t xml:space="preserve">12. Appendices</w:t>
      </w:r>
    </w:p>
    <w:p>
      <w:pPr>
        <w:pStyle w:val="Heading2"/>
        <w:spacing w:after="140" w:before="360"/>
      </w:pPr>
      <w:r>
        <w:rPr>
          <w:rFonts w:ascii="Arial" w:cs="Arial" w:eastAsia="Arial" w:hAnsi="Arial"/>
          <w:b/>
          <w:bCs/>
          <w:color w:val="1A1A1A"/>
          <w:sz w:val="28"/>
          <w:szCs w:val="28"/>
        </w:rPr>
        <w:t xml:space="preserve">12.1 Glossary</w:t>
      </w:r>
    </w:p>
    <w:p>
      <w:pPr>
        <w:spacing w:after="120" w:before="80" w:line="320"/>
      </w:pPr>
      <w:r>
        <w:rPr>
          <w:rFonts w:ascii="Arial" w:cs="Arial" w:eastAsia="Arial" w:hAnsi="Arial"/>
          <w:color w:val="1A1A1A"/>
          <w:sz w:val="22"/>
          <w:szCs w:val="22"/>
        </w:rPr>
        <w:t xml:space="preserve">Terms used throughout this document, defined for unambiguous reference:</w:t>
      </w:r>
    </w:p>
    <w:p>
      <w:pPr>
        <w:pStyle w:val="Heading2"/>
        <w:spacing w:after="140" w:before="360"/>
      </w:pPr>
      <w:r>
        <w:rPr>
          <w:rFonts w:ascii="Arial" w:cs="Arial" w:eastAsia="Arial" w:hAnsi="Arial"/>
          <w:b/>
          <w:bCs/>
          <w:color w:val="1A1A1A"/>
          <w:sz w:val="28"/>
          <w:szCs w:val="28"/>
        </w:rPr>
        <w:t xml:space="preserve">12.2 Component-to-document map</w:t>
      </w:r>
    </w:p>
    <w:p>
      <w:pPr>
        <w:spacing w:after="120" w:before="80" w:line="320"/>
      </w:pPr>
      <w:r>
        <w:rPr>
          <w:rFonts w:ascii="Arial" w:cs="Arial" w:eastAsia="Arial" w:hAnsi="Arial"/>
          <w:color w:val="1A1A1A"/>
          <w:sz w:val="22"/>
          <w:szCs w:val="22"/>
        </w:rPr>
        <w:t xml:space="preserve">For implementation team navigation: where each major architectural commitment is specified.</w:t>
      </w:r>
    </w:p>
    <w:p>
      <w:pPr>
        <w:pStyle w:val="Heading2"/>
        <w:spacing w:after="140" w:before="360"/>
      </w:pPr>
      <w:r>
        <w:rPr>
          <w:rFonts w:ascii="Arial" w:cs="Arial" w:eastAsia="Arial" w:hAnsi="Arial"/>
          <w:b/>
          <w:bCs/>
          <w:color w:val="1A1A1A"/>
          <w:sz w:val="28"/>
          <w:szCs w:val="28"/>
        </w:rPr>
        <w:t xml:space="preserve">12.3 Environment variables and configuration</w:t>
      </w:r>
    </w:p>
    <w:p>
      <w:pPr>
        <w:spacing w:after="120" w:before="80" w:line="320"/>
      </w:pPr>
      <w:r>
        <w:rPr>
          <w:rFonts w:ascii="Arial" w:cs="Arial" w:eastAsia="Arial" w:hAnsi="Arial"/>
          <w:color w:val="1A1A1A"/>
          <w:sz w:val="22"/>
          <w:szCs w:val="22"/>
        </w:rPr>
        <w:t xml:space="preserve">Categories of configuration the v1 deployment requires. Specific variable names are defined in the codebase’s configuration module; this table describes the categories.</w:t>
      </w:r>
    </w:p>
    <w:p>
      <w:pPr>
        <w:pStyle w:val="Heading2"/>
        <w:spacing w:after="140" w:before="360"/>
      </w:pPr>
      <w:r>
        <w:rPr>
          <w:rFonts w:ascii="Arial" w:cs="Arial" w:eastAsia="Arial" w:hAnsi="Arial"/>
          <w:b/>
          <w:bCs/>
          <w:color w:val="1A1A1A"/>
          <w:sz w:val="28"/>
          <w:szCs w:val="28"/>
        </w:rPr>
        <w:t xml:space="preserve">12.4 The architecture in one diagram</w:t>
      </w:r>
    </w:p>
    <w:p>
      <w:pPr>
        <w:spacing w:after="120" w:before="80" w:line="320"/>
      </w:pPr>
      <w:r>
        <w:rPr>
          <w:rFonts w:ascii="Arial" w:cs="Arial" w:eastAsia="Arial" w:hAnsi="Arial"/>
          <w:color w:val="1A1A1A"/>
          <w:sz w:val="22"/>
          <w:szCs w:val="22"/>
        </w:rPr>
        <w:t xml:space="preserve">A textual rendering of the system shape. The implementation team should produce visual architecture diagrams from this textual description and keep them in the project repository.</w:t>
      </w:r>
    </w:p>
    <w:p>
      <w:pPr>
        <w:spacing w:after="120" w:before="80" w:line="320"/>
      </w:pPr>
      <w:r>
        <w:rPr>
          <w:rFonts w:ascii="Arial" w:cs="Arial" w:eastAsia="Arial" w:hAnsi="Arial"/>
          <w:color w:val="1A1A1A"/>
          <w:sz w:val="22"/>
          <w:szCs w:val="22"/>
        </w:rPr>
        <w:t xml:space="preserve">                       CLIENT SURFACES</w:t>
      </w:r>
    </w:p>
    <w:p>
      <w:pPr>
        <w:spacing w:after="120" w:before="80" w:line="320"/>
      </w:pPr>
      <w:r>
        <w:rPr>
          <w:rFonts w:ascii="Arial" w:cs="Arial" w:eastAsia="Arial" w:hAnsi="Arial"/>
          <w:color w:val="1A1A1A"/>
          <w:sz w:val="22"/>
          <w:szCs w:val="22"/>
        </w:rPr>
        <w:t xml:space="preserve">         Web  ·  iOS  ·  Android  ·  Guest browser</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(HTTPS/WSS)   |   (WebRTC via vendor SFU)</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API SERVER POOL</w:t>
      </w:r>
    </w:p>
    <w:p>
      <w:pPr>
        <w:spacing w:after="120" w:before="80" w:line="320"/>
      </w:pPr>
      <w:r>
        <w:rPr>
          <w:rFonts w:ascii="Arial" w:cs="Arial" w:eastAsia="Arial" w:hAnsi="Arial"/>
          <w:color w:val="1A1A1A"/>
          <w:sz w:val="22"/>
          <w:szCs w:val="22"/>
        </w:rPr>
        <w:t xml:space="preserve">         (auth, REST, WebSocket, validation, RLS context)</w:t>
      </w:r>
    </w:p>
    <w:p>
      <w:pPr>
        <w:spacing w:after="120" w:before="80" w:line="320"/>
      </w:pPr>
      <w:r>
        <w:rPr>
          <w:rFonts w:ascii="Arial" w:cs="Arial" w:eastAsia="Arial" w:hAnsi="Arial"/>
          <w:color w:val="1A1A1A"/>
          <w:sz w:val="22"/>
          <w:szCs w:val="22"/>
        </w:rPr>
        <w:t xml:space="preserve">                  |          |          |</w:t>
      </w:r>
    </w:p>
    <w:p>
      <w:pPr>
        <w:spacing w:after="120" w:before="80" w:line="320"/>
      </w:pPr>
      <w:r>
        <w:rPr>
          <w:rFonts w:ascii="Arial" w:cs="Arial" w:eastAsia="Arial" w:hAnsi="Arial"/>
          <w:color w:val="1A1A1A"/>
          <w:sz w:val="22"/>
          <w:szCs w:val="22"/>
        </w:rPr>
        <w:t xml:space="preserve">                  |          |          |  (sticky session routing)</w:t>
      </w:r>
    </w:p>
    <w:p>
      <w:pPr>
        <w:spacing w:after="120" w:before="80" w:line="320"/>
      </w:pPr>
      <w:r>
        <w:rPr>
          <w:rFonts w:ascii="Arial" w:cs="Arial" w:eastAsia="Arial" w:hAnsi="Arial"/>
          <w:color w:val="1A1A1A"/>
          <w:sz w:val="22"/>
          <w:szCs w:val="22"/>
        </w:rPr>
        <w:t xml:space="preserve">                  |          |          v</w:t>
      </w:r>
    </w:p>
    <w:p>
      <w:pPr>
        <w:spacing w:after="120" w:before="80" w:line="320"/>
      </w:pPr>
      <w:r>
        <w:rPr>
          <w:rFonts w:ascii="Arial" w:cs="Arial" w:eastAsia="Arial" w:hAnsi="Arial"/>
          <w:color w:val="1A1A1A"/>
          <w:sz w:val="22"/>
          <w:szCs w:val="22"/>
        </w:rPr>
        <w:t xml:space="preserve">                  |          |    MEDIA COORDINATOR POOL</w:t>
      </w:r>
    </w:p>
    <w:p>
      <w:pPr>
        <w:spacing w:after="120" w:before="80" w:line="320"/>
      </w:pPr>
      <w:r>
        <w:rPr>
          <w:rFonts w:ascii="Arial" w:cs="Arial" w:eastAsia="Arial" w:hAnsi="Arial"/>
          <w:color w:val="1A1A1A"/>
          <w:sz w:val="22"/>
          <w:szCs w:val="22"/>
        </w:rPr>
        <w:t xml:space="preserve">                  |          |    (one instance per active meeting)</w:t>
      </w:r>
    </w:p>
    <w:p>
      <w:pPr>
        <w:spacing w:after="120" w:before="80" w:line="320"/>
      </w:pPr>
      <w:r>
        <w:rPr>
          <w:rFonts w:ascii="Arial" w:cs="Arial" w:eastAsia="Arial" w:hAnsi="Arial"/>
          <w:color w:val="1A1A1A"/>
          <w:sz w:val="22"/>
          <w:szCs w:val="22"/>
        </w:rPr>
        <w:t xml:space="preserve">                  |          |          |</w:t>
      </w:r>
    </w:p>
    <w:p>
      <w:pPr>
        <w:spacing w:after="120" w:before="80" w:line="320"/>
      </w:pPr>
      <w:r>
        <w:rPr>
          <w:rFonts w:ascii="Arial" w:cs="Arial" w:eastAsia="Arial" w:hAnsi="Arial"/>
          <w:color w:val="1A1A1A"/>
          <w:sz w:val="22"/>
          <w:szCs w:val="22"/>
        </w:rPr>
        <w:t xml:space="preserve">                  v          v          v</w:t>
      </w:r>
    </w:p>
    <w:p>
      <w:pPr>
        <w:spacing w:after="120" w:before="80" w:line="320"/>
      </w:pPr>
      <w:r>
        <w:rPr>
          <w:rFonts w:ascii="Arial" w:cs="Arial" w:eastAsia="Arial" w:hAnsi="Arial"/>
          <w:color w:val="1A1A1A"/>
          <w:sz w:val="22"/>
          <w:szCs w:val="22"/>
        </w:rPr>
        <w:t xml:space="preserve">                       EVENT BUS</w:t>
      </w:r>
    </w:p>
    <w:p>
      <w:pPr>
        <w:spacing w:after="120" w:before="80" w:line="320"/>
      </w:pPr>
      <w:r>
        <w:rPr>
          <w:rFonts w:ascii="Arial" w:cs="Arial" w:eastAsia="Arial" w:hAnsi="Arial"/>
          <w:color w:val="1A1A1A"/>
          <w:sz w:val="22"/>
          <w:szCs w:val="22"/>
        </w:rPr>
        <w:t xml:space="preserve">         (SQS or Pub/Sub; at-least-once delivery)</w:t>
      </w:r>
    </w:p>
    <w:p>
      <w:pPr>
        <w:spacing w:after="120" w:before="80" w:line="320"/>
      </w:pPr>
      <w:r>
        <w:rPr>
          <w:rFonts w:ascii="Arial" w:cs="Arial" w:eastAsia="Arial" w:hAnsi="Arial"/>
          <w:color w:val="1A1A1A"/>
          <w:sz w:val="22"/>
          <w:szCs w:val="22"/>
        </w:rPr>
        <w:t xml:space="preserve">                            |</w:t>
      </w:r>
    </w:p>
    <w:p>
      <w:pPr>
        <w:spacing w:after="120" w:before="80" w:line="320"/>
      </w:pPr>
      <w:r>
        <w:rPr>
          <w:rFonts w:ascii="Arial" w:cs="Arial" w:eastAsia="Arial" w:hAnsi="Arial"/>
          <w:color w:val="1A1A1A"/>
          <w:sz w:val="22"/>
          <w:szCs w:val="22"/>
        </w:rPr>
        <w:t xml:space="preserve">                            v</w:t>
      </w:r>
    </w:p>
    <w:p>
      <w:pPr>
        <w:spacing w:after="120" w:before="80" w:line="320"/>
      </w:pPr>
      <w:r>
        <w:rPr>
          <w:rFonts w:ascii="Arial" w:cs="Arial" w:eastAsia="Arial" w:hAnsi="Arial"/>
          <w:color w:val="1A1A1A"/>
          <w:sz w:val="22"/>
          <w:szCs w:val="22"/>
        </w:rPr>
        <w:t xml:space="preserve">                    WORKER POOL</w:t>
      </w:r>
    </w:p>
    <w:p>
      <w:pPr>
        <w:spacing w:after="120" w:before="80" w:line="320"/>
      </w:pPr>
      <w:r>
        <w:rPr>
          <w:rFonts w:ascii="Arial" w:cs="Arial" w:eastAsia="Arial" w:hAnsi="Arial"/>
          <w:color w:val="1A1A1A"/>
          <w:sz w:val="22"/>
          <w:szCs w:val="22"/>
        </w:rPr>
        <w:t xml:space="preserve">         (ingestion, notifications, scheduled jobs)</w:t>
      </w:r>
    </w:p>
    <w:p>
      <w:pPr>
        <w:spacing w:after="120" w:before="80" w:line="320"/>
      </w:pPr>
      <w:r>
        <w:rPr>
          <w:rFonts w:ascii="Arial" w:cs="Arial" w:eastAsia="Arial" w:hAnsi="Arial"/>
          <w:color w:val="1A1A1A"/>
          <w:sz w:val="22"/>
          <w:szCs w:val="22"/>
        </w:rPr>
        <w:t xml:space="preserve">                       DATA STORES</w:t>
      </w:r>
    </w:p>
    <w:p>
      <w:pPr>
        <w:spacing w:after="120" w:before="80" w:line="320"/>
      </w:pPr>
      <w:r>
        <w:rPr>
          <w:rFonts w:ascii="Arial" w:cs="Arial" w:eastAsia="Arial" w:hAnsi="Arial"/>
          <w:color w:val="1A1A1A"/>
          <w:sz w:val="22"/>
          <w:szCs w:val="22"/>
        </w:rPr>
        <w:t xml:space="preserve">  POSTGRES        VECTOR        NEO4J        REDIS        OBJECT STORE</w:t>
      </w:r>
    </w:p>
    <w:p>
      <w:pPr>
        <w:spacing w:after="120" w:before="80" w:line="320"/>
      </w:pPr>
      <w:r>
        <w:rPr>
          <w:rFonts w:ascii="Arial" w:cs="Arial" w:eastAsia="Arial" w:hAnsi="Arial"/>
          <w:color w:val="1A1A1A"/>
          <w:sz w:val="22"/>
          <w:szCs w:val="22"/>
        </w:rPr>
        <w:t xml:space="preserve">  (RLS per        (per-tenant   (per-tenant  (hot         (per-tenant</w:t>
      </w:r>
    </w:p>
    <w:p>
      <w:pPr>
        <w:spacing w:after="120" w:before="80" w:line="320"/>
      </w:pPr>
      <w:r>
        <w:rPr>
          <w:rFonts w:ascii="Arial" w:cs="Arial" w:eastAsia="Arial" w:hAnsi="Arial"/>
          <w:color w:val="1A1A1A"/>
          <w:sz w:val="22"/>
          <w:szCs w:val="22"/>
        </w:rPr>
        <w:t xml:space="preserve">   tenant)        namespace)    database)    state)        prefix)</w:t>
      </w:r>
    </w:p>
    <w:p>
      <w:pPr>
        <w:spacing w:after="120" w:before="80" w:line="320"/>
      </w:pPr>
      <w:r>
        <w:rPr>
          <w:rFonts w:ascii="Arial" w:cs="Arial" w:eastAsia="Arial" w:hAnsi="Arial"/>
          <w:color w:val="1A1A1A"/>
          <w:sz w:val="22"/>
          <w:szCs w:val="22"/>
        </w:rPr>
        <w:t xml:space="preserve">                  EXTERNAL DEPENDENCIES</w:t>
      </w:r>
    </w:p>
    <w:p>
      <w:pPr>
        <w:spacing w:after="120" w:before="80" w:line="320"/>
      </w:pPr>
      <w:r>
        <w:rPr>
          <w:rFonts w:ascii="Arial" w:cs="Arial" w:eastAsia="Arial" w:hAnsi="Arial"/>
          <w:color w:val="1A1A1A"/>
          <w:sz w:val="22"/>
          <w:szCs w:val="22"/>
        </w:rPr>
        <w:t xml:space="preserve">  LLM             MEDIA         STT/TTS      IDENTITY     PAYMENT</w:t>
      </w:r>
    </w:p>
    <w:p>
      <w:pPr>
        <w:spacing w:after="120" w:before="80" w:line="320"/>
      </w:pPr>
      <w:r>
        <w:rPr>
          <w:rFonts w:ascii="Arial" w:cs="Arial" w:eastAsia="Arial" w:hAnsi="Arial"/>
          <w:color w:val="1A1A1A"/>
          <w:sz w:val="22"/>
          <w:szCs w:val="22"/>
        </w:rPr>
        <w:t xml:space="preserve">  providers       vendor        providers    provider     providers</w:t>
      </w:r>
    </w:p>
    <w:p>
      <w:pPr>
        <w:spacing w:after="120" w:before="80" w:line="320"/>
      </w:pPr>
      <w:r>
        <w:rPr>
          <w:rFonts w:ascii="Arial" w:cs="Arial" w:eastAsia="Arial" w:hAnsi="Arial"/>
          <w:color w:val="1A1A1A"/>
          <w:sz w:val="22"/>
          <w:szCs w:val="22"/>
        </w:rPr>
        <w:t xml:space="preserve">  (5-7)           (LiveKit)                  (WorkOS)     (Stripe)</w:t>
      </w:r>
    </w:p>
    <w:p>
      <w:pPr>
        <w:pStyle w:val="Heading2"/>
        <w:spacing w:after="140" w:before="360"/>
      </w:pPr>
      <w:r>
        <w:rPr>
          <w:rFonts w:ascii="Arial" w:cs="Arial" w:eastAsia="Arial" w:hAnsi="Arial"/>
          <w:b/>
          <w:bCs/>
          <w:color w:val="1A1A1A"/>
          <w:sz w:val="28"/>
          <w:szCs w:val="28"/>
        </w:rPr>
        <w:t xml:space="preserve">12.5 Reading list</w:t>
      </w:r>
    </w:p>
    <w:p>
      <w:pPr>
        <w:spacing w:after="120" w:before="80" w:line="320"/>
      </w:pPr>
      <w:r>
        <w:rPr>
          <w:rFonts w:ascii="Arial" w:cs="Arial" w:eastAsia="Arial" w:hAnsi="Arial"/>
          <w:color w:val="1A1A1A"/>
          <w:sz w:val="22"/>
          <w:szCs w:val="22"/>
        </w:rPr>
        <w:t xml:space="preserve">Reference materials the implementation team will use. Not exhaustive; a starting set:</w:t>
      </w:r>
    </w:p>
    <w:p>
      <w:pPr>
        <w:spacing w:after="120" w:before="80" w:line="320"/>
      </w:pPr>
      <w:r>
        <w:rPr>
          <w:rFonts w:ascii="Arial" w:cs="Arial" w:eastAsia="Arial" w:hAnsi="Arial"/>
          <w:color w:val="1A1A1A"/>
          <w:sz w:val="22"/>
          <w:szCs w:val="22"/>
        </w:rPr>
        <w:t xml:space="preserve">LiveKit and Daily documentation: real-time media SDK behaviour, server-side participation APIs.</w:t>
      </w:r>
    </w:p>
    <w:p>
      <w:pPr>
        <w:spacing w:after="120" w:before="80" w:line="320"/>
      </w:pPr>
      <w:r>
        <w:rPr>
          <w:rFonts w:ascii="Arial" w:cs="Arial" w:eastAsia="Arial" w:hAnsi="Arial"/>
          <w:color w:val="1A1A1A"/>
          <w:sz w:val="22"/>
          <w:szCs w:val="22"/>
        </w:rPr>
        <w:t xml:space="preserve">Anthropic, OpenAI, Google, Mistral, DeepSeek, Moonshot API documentation: provider-specific behaviour, rate limits, streaming.</w:t>
      </w:r>
    </w:p>
    <w:p>
      <w:pPr>
        <w:spacing w:after="120" w:before="80" w:line="320"/>
      </w:pPr>
      <w:r>
        <w:rPr>
          <w:rFonts w:ascii="Arial" w:cs="Arial" w:eastAsia="Arial" w:hAnsi="Arial"/>
          <w:color w:val="1A1A1A"/>
          <w:sz w:val="22"/>
          <w:szCs w:val="22"/>
        </w:rPr>
        <w:t xml:space="preserve">Postgres row-level security documentation: enforcement model, performance characteristics.</w:t>
      </w:r>
    </w:p>
    <w:p>
      <w:pPr>
        <w:spacing w:after="120" w:before="80" w:line="320"/>
      </w:pPr>
      <w:r>
        <w:rPr>
          <w:rFonts w:ascii="Arial" w:cs="Arial" w:eastAsia="Arial" w:hAnsi="Arial"/>
          <w:color w:val="1A1A1A"/>
          <w:sz w:val="22"/>
          <w:szCs w:val="22"/>
        </w:rPr>
        <w:t xml:space="preserve">Neo4j Cypher reference: graph query language fundamentals.</w:t>
      </w:r>
    </w:p>
    <w:p>
      <w:pPr>
        <w:spacing w:after="120" w:before="80" w:line="320"/>
      </w:pPr>
      <w:r>
        <w:rPr>
          <w:rFonts w:ascii="Arial" w:cs="Arial" w:eastAsia="Arial" w:hAnsi="Arial"/>
          <w:color w:val="1A1A1A"/>
          <w:sz w:val="22"/>
          <w:szCs w:val="22"/>
        </w:rPr>
        <w:t xml:space="preserve">Sarvam AI and AI4Bharat documentation: Indic-specialist STT, TTS, and translation models.</w:t>
      </w:r>
    </w:p>
    <w:p>
      <w:pPr>
        <w:spacing w:after="120" w:before="80" w:line="320"/>
      </w:pPr>
      <w:r>
        <w:rPr>
          <w:rFonts w:ascii="Arial" w:cs="Arial" w:eastAsia="Arial" w:hAnsi="Arial"/>
          <w:color w:val="1A1A1A"/>
          <w:sz w:val="22"/>
          <w:szCs w:val="22"/>
        </w:rPr>
        <w:t xml:space="preserve">OWASP Top 10 and SOC 2 Trust Services Criteria: security baseline and audit-readiness.</w:t>
      </w:r>
    </w:p>
    <w:p>
      <w:pPr>
        <w:spacing w:after="120" w:before="80" w:line="320"/>
      </w:pPr>
      <w:r>
        <w:rPr>
          <w:rFonts w:ascii="Arial" w:cs="Arial" w:eastAsia="Arial" w:hAnsi="Arial"/>
          <w:color w:val="1A1A1A"/>
          <w:sz w:val="22"/>
          <w:szCs w:val="22"/>
        </w:rPr>
        <w:t xml:space="preserve">GDPR Articles 5-22 and India DPDPA core sections: data subject rights and processing obligations.</w:t>
      </w:r>
    </w:p>
    <w:p>
      <w:pPr>
        <w:pStyle w:val="Heading2"/>
        <w:spacing w:after="140" w:before="360"/>
      </w:pPr>
      <w:r>
        <w:rPr>
          <w:rFonts w:ascii="Arial" w:cs="Arial" w:eastAsia="Arial" w:hAnsi="Arial"/>
          <w:b/>
          <w:bCs/>
          <w:color w:val="1A1A1A"/>
          <w:sz w:val="28"/>
          <w:szCs w:val="28"/>
        </w:rPr>
        <w:t xml:space="preserve">12.6 Document maintenance</w:t>
      </w:r>
    </w:p>
    <w:p>
      <w:pPr>
        <w:spacing w:after="120" w:before="80" w:line="320"/>
      </w:pPr>
      <w:r>
        <w:rPr>
          <w:rFonts w:ascii="Arial" w:cs="Arial" w:eastAsia="Arial" w:hAnsi="Arial"/>
          <w:color w:val="1A1A1A"/>
          <w:sz w:val="22"/>
          <w:szCs w:val="22"/>
        </w:rPr>
        <w:t xml:space="preserve">This architecture document is versioned. Material changes (new components, structural revisions, removed commitments) produce new versions with a changelog. Minor edits (typos, clarifications) are tracked in version control without version increment. The document lives in the project repository and is the source of truth that subordinate engineering documents refer to.</w:t>
      </w:r>
    </w:p>
    <w:p>
      <w:pPr>
        <w:spacing w:after="120" w:before="80" w:line="320"/>
      </w:pPr>
      <w:r>
        <w:rPr>
          <w:rFonts w:ascii="Arial" w:cs="Arial" w:eastAsia="Arial" w:hAnsi="Arial"/>
          <w:color w:val="1A1A1A"/>
          <w:sz w:val="22"/>
          <w:szCs w:val="22"/>
        </w:rPr>
        <w:t xml:space="preserve">When implementation reveals an architectural decision needs to change, the change is proposed, reviewed, agreed, and the document is updated. The AI Quality Lead and the lead architect share responsibility for keeping this document in sync with built reality.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1A"/>
      <w:sz w:val="23"/>
      <w:szCs w:val="23"/>
    </w:rPr>
  </w:style>
  <w:style w:type="paragraph" w:styleId="Heading4">
    <w:name w:val="Heading 4"/>
    <w:basedOn w:val="Normal"/>
    <w:next w:val="Normal"/>
    <w:qFormat/>
    <w:pPr>
      <w:spacing w:after="80" w:before="200"/>
      <w:outlineLvl w:val="3"/>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2026-05-04T03:46:47.854Z</dcterms:created>
  <dcterms:modified xsi:type="dcterms:W3CDTF">2026-05-04T03:46:47.854Z</dcterms:modified>
</cp:coreProperties>
</file>

<file path=docProps/custom.xml><?xml version="1.0" encoding="utf-8"?>
<Properties xmlns="http://schemas.openxmlformats.org/officeDocument/2006/custom-properties" xmlns:vt="http://schemas.openxmlformats.org/officeDocument/2006/docPropsVTypes"/>
</file>