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5.png" ContentType="image/png"/>
  <Override PartName="/word/media/image2.jpeg" ContentType="image/jpeg"/>
  <Override PartName="/word/media/image3.jpeg" ContentType="image/jpeg"/>
  <Override PartName="/word/media/image4.jpeg" ContentType="image/jpe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Performance and Testing 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tbl>
      <w:tblPr>
        <w:tblStyle w:val="a"/>
        <w:tblW w:w="913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3010"/>
        <w:gridCol w:w="6124"/>
      </w:tblGrid>
      <w:tr>
        <w:trPr>
          <w:trHeight w:val="487" w:hRule="atLeast"/>
        </w:trPr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cs="Times New Roman"/>
                <w:b/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Date</w:t>
            </w:r>
          </w:p>
        </w:tc>
        <w:tc>
          <w:tcPr>
            <w:tcW w:w="6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30 October</w:t>
            </w:r>
            <w:bookmarkStart w:id="0" w:name="_GoBack"/>
            <w:bookmarkEnd w:id="0"/>
            <w:r>
              <w:rPr>
                <w:rFonts w:cs="Times New Roman" w:ascii="Times New Roman" w:hAnsi="Times New Roman"/>
                <w:sz w:val="24"/>
              </w:rPr>
              <w:t xml:space="preserve"> 2025</w:t>
            </w:r>
          </w:p>
        </w:tc>
      </w:tr>
      <w:tr>
        <w:trPr>
          <w:trHeight w:val="459" w:hRule="atLeast"/>
        </w:trPr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cs="Times New Roman"/>
                <w:b/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Team ID</w:t>
            </w:r>
          </w:p>
        </w:tc>
        <w:tc>
          <w:tcPr>
            <w:tcW w:w="6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35475C"/>
                <w:sz w:val="24"/>
                <w:szCs w:val="20"/>
                <w:shd w:fill="FFFFFF" w:val="clear"/>
              </w:rPr>
              <w:t>NM2025TMID04658</w:t>
            </w:r>
          </w:p>
        </w:tc>
      </w:tr>
      <w:tr>
        <w:trPr>
          <w:trHeight w:val="487" w:hRule="atLeast"/>
        </w:trPr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cs="Times New Roman"/>
                <w:b/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Project Name</w:t>
            </w:r>
          </w:p>
        </w:tc>
        <w:tc>
          <w:tcPr>
            <w:tcW w:w="6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1125" w:leader="none"/>
              </w:tabs>
              <w:spacing w:before="0" w:after="16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Optimizing User, Group, and Role Management with Access Control and Workflows</w:t>
            </w:r>
          </w:p>
        </w:tc>
      </w:tr>
      <w:tr>
        <w:trPr>
          <w:trHeight w:val="459" w:hRule="atLeast"/>
        </w:trPr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cs="Times New Roman"/>
                <w:b/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Maximum Marks</w:t>
            </w:r>
          </w:p>
        </w:tc>
        <w:tc>
          <w:tcPr>
            <w:tcW w:w="6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4 Marks</w:t>
            </w:r>
          </w:p>
        </w:tc>
      </w:tr>
    </w:tbl>
    <w:p>
      <w:pPr>
        <w:pStyle w:val="Normal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/>
          <w:b/>
          <w:sz w:val="32"/>
          <w:szCs w:val="24"/>
        </w:rPr>
      </w:pPr>
      <w:r>
        <w:rPr>
          <w:rFonts w:cs="Times New Roman" w:ascii="Times New Roman" w:hAnsi="Times New Roman"/>
          <w:b/>
          <w:sz w:val="32"/>
          <w:szCs w:val="24"/>
        </w:rPr>
        <w:t>Model Performance Testing</w:t>
      </w:r>
    </w:p>
    <w:p>
      <w:pPr>
        <w:pStyle w:val="Heading3"/>
        <w:rPr>
          <w:rFonts w:ascii="Times New Roman" w:hAnsi="Times New Roman" w:cs="Times New Roman"/>
        </w:rPr>
      </w:pPr>
      <w:r>
        <w:rPr>
          <w:rStyle w:val="Strong"/>
          <w:rFonts w:cs="Times New Roman" w:ascii="Times New Roman" w:hAnsi="Times New Roman"/>
          <w:b/>
          <w:bCs w:val="false"/>
        </w:rPr>
        <w:t>1. User Creation and Role Assignment</w:t>
      </w:r>
    </w:p>
    <w:p>
      <w:pPr>
        <w:pStyle w:val="Normal"/>
        <w:jc w:val="center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 </w:t>
      </w:r>
      <w:r>
        <w:rPr/>
        <mc:AlternateContent>
          <mc:Choice Requires="wps">
            <w:drawing>
              <wp:inline distT="0" distB="0" distL="0" distR="0">
                <wp:extent cx="5734050" cy="3028950"/>
                <wp:effectExtent l="0" t="0" r="0" b="0"/>
                <wp:docPr id="1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5734080" cy="30290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0pt;margin-top:-238.55pt;width:451.45pt;height:238.45pt;mso-wrap-style:none;v-text-anchor:middle;mso-position-vertical:top" type="_x0000_t75">
                <v:imagedata r:id="rId2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jc w:val="center"/>
        <w:rPr>
          <w:rFonts w:ascii="Times New Roman" w:hAnsi="Times New Roman" w:cs="Times New Roman"/>
          <w:b/>
          <w:b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34050" cy="3067050"/>
                <wp:effectExtent l="0" t="0" r="0" b="0"/>
                <wp:docPr id="2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 descr="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5734080" cy="30672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241.55pt;width:451.45pt;height:241.45pt;mso-wrap-style:none;v-text-anchor:middle;mso-position-vertical:top" type="_x0000_t75">
                <v:imagedata r:id="rId3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jc w:val="center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63"/>
        <w:gridCol w:w="6752"/>
      </w:tblGrid>
      <w:tr>
        <w:trPr/>
        <w:tc>
          <w:tcPr>
            <w:tcW w:w="22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bCs/>
                <w:sz w:val="28"/>
              </w:rPr>
            </w:pPr>
            <w:r>
              <w:rPr>
                <w:rStyle w:val="Strong"/>
                <w:rFonts w:eastAsia="Calibri" w:cs="Times New Roman" w:ascii="Times New Roman" w:hAnsi="Times New Roman"/>
                <w:kern w:val="0"/>
                <w:sz w:val="28"/>
                <w:szCs w:val="22"/>
                <w:lang w:val="en-IN" w:eastAsia="en-GB" w:bidi="ar-SA"/>
              </w:rPr>
              <w:t>Parameter</w:t>
            </w:r>
          </w:p>
        </w:tc>
        <w:tc>
          <w:tcPr>
            <w:tcW w:w="6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bCs/>
                <w:sz w:val="28"/>
              </w:rPr>
            </w:pPr>
            <w:r>
              <w:rPr>
                <w:rStyle w:val="Strong"/>
                <w:rFonts w:eastAsia="Calibri" w:cs="Times New Roman" w:ascii="Times New Roman" w:hAnsi="Times New Roman"/>
                <w:kern w:val="0"/>
                <w:sz w:val="28"/>
                <w:szCs w:val="22"/>
                <w:lang w:val="en-IN" w:eastAsia="en-GB" w:bidi="ar-SA"/>
              </w:rPr>
              <w:t>Values</w:t>
            </w:r>
          </w:p>
        </w:tc>
      </w:tr>
      <w:tr>
        <w:trPr/>
        <w:tc>
          <w:tcPr>
            <w:tcW w:w="22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</w:rPr>
            </w:pPr>
            <w:r>
              <w:rPr>
                <w:rStyle w:val="Strong"/>
                <w:rFonts w:eastAsia="Calibri" w:cs="Times New Roman" w:ascii="Times New Roman" w:hAnsi="Times New Roman"/>
                <w:kern w:val="0"/>
                <w:sz w:val="28"/>
                <w:szCs w:val="22"/>
                <w:lang w:val="en-IN" w:eastAsia="en-GB" w:bidi="ar-SA"/>
              </w:rPr>
              <w:t>Model Summary</w:t>
            </w:r>
          </w:p>
        </w:tc>
        <w:tc>
          <w:tcPr>
            <w:tcW w:w="6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2"/>
                <w:lang w:val="en-IN" w:eastAsia="en-GB" w:bidi="ar-SA"/>
              </w:rPr>
              <w:t>Creates and validates new users with appropriate group and role assignments. Ensures accurate field validation, access level mapping, and workflow-based approvals before activation.</w:t>
            </w:r>
          </w:p>
        </w:tc>
      </w:tr>
      <w:tr>
        <w:trPr/>
        <w:tc>
          <w:tcPr>
            <w:tcW w:w="22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</w:rPr>
            </w:pPr>
            <w:r>
              <w:rPr>
                <w:rStyle w:val="Strong"/>
                <w:rFonts w:eastAsia="Calibri" w:cs="Times New Roman" w:ascii="Times New Roman" w:hAnsi="Times New Roman"/>
                <w:kern w:val="0"/>
                <w:sz w:val="28"/>
                <w:szCs w:val="22"/>
                <w:lang w:val="en-IN" w:eastAsia="en-GB" w:bidi="ar-SA"/>
              </w:rPr>
              <w:t>Accuracy</w:t>
            </w:r>
          </w:p>
        </w:tc>
        <w:tc>
          <w:tcPr>
            <w:tcW w:w="6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2"/>
                <w:lang w:val="en-IN" w:eastAsia="en-GB" w:bidi="ar-SA"/>
              </w:rPr>
              <w:t xml:space="preserve">Execution Success Rate – </w:t>
            </w:r>
            <w:r>
              <w:rPr>
                <w:rStyle w:val="Strong"/>
                <w:rFonts w:eastAsia="Calibri" w:cs="Times New Roman" w:ascii="Times New Roman" w:hAnsi="Times New Roman"/>
                <w:kern w:val="0"/>
                <w:sz w:val="28"/>
                <w:szCs w:val="22"/>
                <w:lang w:val="en-IN" w:eastAsia="en-GB" w:bidi="ar-SA"/>
              </w:rPr>
              <w:t>97%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2"/>
                <w:lang w:val="en-IN" w:eastAsia="en-GB" w:bidi="ar-SA"/>
              </w:rPr>
              <w:t>. All role and group dependencies validated successfully under test workflows.</w:t>
            </w:r>
          </w:p>
        </w:tc>
      </w:tr>
      <w:tr>
        <w:trPr/>
        <w:tc>
          <w:tcPr>
            <w:tcW w:w="22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</w:rPr>
            </w:pPr>
            <w:r>
              <w:rPr>
                <w:rStyle w:val="Strong"/>
                <w:rFonts w:eastAsia="Calibri" w:cs="Times New Roman" w:ascii="Times New Roman" w:hAnsi="Times New Roman"/>
                <w:kern w:val="0"/>
                <w:sz w:val="28"/>
                <w:szCs w:val="22"/>
                <w:lang w:val="en-IN" w:eastAsia="en-GB" w:bidi="ar-SA"/>
              </w:rPr>
              <w:t>Confidence Score (Rule Effectiveness)</w:t>
            </w:r>
          </w:p>
        </w:tc>
        <w:tc>
          <w:tcPr>
            <w:tcW w:w="6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2"/>
                <w:lang w:val="en-IN" w:eastAsia="en-GB" w:bidi="ar-SA"/>
              </w:rPr>
              <w:t xml:space="preserve">Confidence – </w:t>
            </w:r>
            <w:r>
              <w:rPr>
                <w:rStyle w:val="Strong"/>
                <w:rFonts w:eastAsia="Calibri" w:cs="Times New Roman" w:ascii="Times New Roman" w:hAnsi="Times New Roman"/>
                <w:kern w:val="0"/>
                <w:sz w:val="28"/>
                <w:szCs w:val="22"/>
                <w:lang w:val="en-IN" w:eastAsia="en-GB" w:bidi="ar-SA"/>
              </w:rPr>
              <w:t>96%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2"/>
                <w:lang w:val="en-IN" w:eastAsia="en-GB" w:bidi="ar-SA"/>
              </w:rPr>
              <w:t xml:space="preserve"> rule execution reliability in ensuring valid access and proper workflow approvals.</w:t>
            </w:r>
          </w:p>
        </w:tc>
      </w:tr>
    </w:tbl>
    <w:p>
      <w:pPr>
        <w:pStyle w:val="Normal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Heading3"/>
        <w:rPr>
          <w:rStyle w:val="Strong"/>
          <w:rFonts w:ascii="Times New Roman" w:hAnsi="Times New Roman" w:cs="Times New Roman"/>
          <w:b/>
          <w:b/>
          <w:bCs w:val="false"/>
        </w:rPr>
      </w:pPr>
      <w:r>
        <w:rPr>
          <w:rStyle w:val="Strong"/>
          <w:rFonts w:cs="Times New Roman" w:ascii="Times New Roman" w:hAnsi="Times New Roman"/>
          <w:b/>
          <w:bCs w:val="false"/>
        </w:rPr>
        <w:t>2. Group and Role Synchronization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b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34050" cy="3038475"/>
                <wp:effectExtent l="0" t="0" r="0" b="0"/>
                <wp:docPr id="3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5734080" cy="30384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239.3pt;width:451.45pt;height:239.2pt;mso-wrap-style:none;v-text-anchor:middle;mso-position-vertical:top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63"/>
        <w:gridCol w:w="6752"/>
      </w:tblGrid>
      <w:tr>
        <w:trPr/>
        <w:tc>
          <w:tcPr>
            <w:tcW w:w="22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bCs/>
                <w:sz w:val="28"/>
                <w:szCs w:val="28"/>
              </w:rPr>
            </w:pPr>
            <w:r>
              <w:rPr>
                <w:rStyle w:val="Strong"/>
                <w:rFonts w:eastAsia="Calibri" w:cs="Times New Roman" w:ascii="Times New Roman" w:hAnsi="Times New Roman"/>
                <w:kern w:val="0"/>
                <w:sz w:val="28"/>
                <w:szCs w:val="28"/>
                <w:lang w:val="en-IN" w:eastAsia="en-GB" w:bidi="ar-SA"/>
              </w:rPr>
              <w:t>Parameter</w:t>
            </w:r>
          </w:p>
        </w:tc>
        <w:tc>
          <w:tcPr>
            <w:tcW w:w="6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bCs/>
                <w:sz w:val="28"/>
                <w:szCs w:val="28"/>
              </w:rPr>
            </w:pPr>
            <w:r>
              <w:rPr>
                <w:rStyle w:val="Strong"/>
                <w:rFonts w:eastAsia="Calibri" w:cs="Times New Roman" w:ascii="Times New Roman" w:hAnsi="Times New Roman"/>
                <w:kern w:val="0"/>
                <w:sz w:val="28"/>
                <w:szCs w:val="28"/>
                <w:lang w:val="en-IN" w:eastAsia="en-GB" w:bidi="ar-SA"/>
              </w:rPr>
              <w:t>Values</w:t>
            </w:r>
          </w:p>
        </w:tc>
      </w:tr>
      <w:tr>
        <w:trPr/>
        <w:tc>
          <w:tcPr>
            <w:tcW w:w="22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eastAsia="Calibri" w:cs="Times New Roman" w:ascii="Times New Roman" w:hAnsi="Times New Roman"/>
                <w:kern w:val="0"/>
                <w:sz w:val="28"/>
                <w:szCs w:val="28"/>
                <w:lang w:val="en-IN" w:eastAsia="en-GB" w:bidi="ar-SA"/>
              </w:rPr>
              <w:t>Model Summary</w:t>
            </w:r>
          </w:p>
        </w:tc>
        <w:tc>
          <w:tcPr>
            <w:tcW w:w="6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IN" w:eastAsia="en-GB" w:bidi="ar-SA"/>
              </w:rPr>
              <w:t>Verifies that user additions or removals from groups dynamically update role permissions and associated workflows. Ensures proper synchronization across access control lists (ACLs).</w:t>
            </w:r>
          </w:p>
        </w:tc>
      </w:tr>
      <w:tr>
        <w:trPr/>
        <w:tc>
          <w:tcPr>
            <w:tcW w:w="22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eastAsia="Calibri" w:cs="Times New Roman" w:ascii="Times New Roman" w:hAnsi="Times New Roman"/>
                <w:kern w:val="0"/>
                <w:sz w:val="28"/>
                <w:szCs w:val="28"/>
                <w:lang w:val="en-IN" w:eastAsia="en-GB" w:bidi="ar-SA"/>
              </w:rPr>
              <w:t>Accuracy</w:t>
            </w:r>
          </w:p>
        </w:tc>
        <w:tc>
          <w:tcPr>
            <w:tcW w:w="6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IN" w:eastAsia="en-GB" w:bidi="ar-SA"/>
              </w:rPr>
              <w:t xml:space="preserve">Execution Success Rate – </w:t>
            </w:r>
            <w:r>
              <w:rPr>
                <w:rStyle w:val="Strong"/>
                <w:rFonts w:eastAsia="Calibri" w:cs="Times New Roman" w:ascii="Times New Roman" w:hAnsi="Times New Roman"/>
                <w:kern w:val="0"/>
                <w:sz w:val="28"/>
                <w:szCs w:val="28"/>
                <w:lang w:val="en-IN" w:eastAsia="en-GB" w:bidi="ar-SA"/>
              </w:rPr>
              <w:t>98%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IN" w:eastAsia="en-GB" w:bidi="ar-SA"/>
              </w:rPr>
              <w:t>. Validation passed for automatic group-role updates and dependency checks.</w:t>
            </w:r>
          </w:p>
        </w:tc>
      </w:tr>
      <w:tr>
        <w:trPr/>
        <w:tc>
          <w:tcPr>
            <w:tcW w:w="22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eastAsia="Calibri" w:cs="Times New Roman" w:ascii="Times New Roman" w:hAnsi="Times New Roman"/>
                <w:kern w:val="0"/>
                <w:sz w:val="28"/>
                <w:szCs w:val="28"/>
                <w:lang w:val="en-IN" w:eastAsia="en-GB" w:bidi="ar-SA"/>
              </w:rPr>
              <w:t>Confidence Score (Rule Effectiveness)</w:t>
            </w:r>
          </w:p>
        </w:tc>
        <w:tc>
          <w:tcPr>
            <w:tcW w:w="6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IN" w:eastAsia="en-GB" w:bidi="ar-SA"/>
              </w:rPr>
              <w:t xml:space="preserve">Confidence – </w:t>
            </w:r>
            <w:r>
              <w:rPr>
                <w:rStyle w:val="Strong"/>
                <w:rFonts w:eastAsia="Calibri" w:cs="Times New Roman" w:ascii="Times New Roman" w:hAnsi="Times New Roman"/>
                <w:kern w:val="0"/>
                <w:sz w:val="28"/>
                <w:szCs w:val="28"/>
                <w:lang w:val="en-IN" w:eastAsia="en-GB" w:bidi="ar-SA"/>
              </w:rPr>
              <w:t>95%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IN" w:eastAsia="en-GB" w:bidi="ar-SA"/>
              </w:rPr>
              <w:t xml:space="preserve"> rule reliability in maintaining consistent access synchronization across user roles.</w:t>
            </w:r>
          </w:p>
        </w:tc>
      </w:tr>
    </w:tbl>
    <w:p>
      <w:pPr>
        <w:pStyle w:val="Normal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Heading3"/>
        <w:rPr>
          <w:rFonts w:ascii="Times New Roman" w:hAnsi="Times New Roman" w:cs="Times New Roman"/>
        </w:rPr>
      </w:pPr>
      <w:r>
        <w:rPr>
          <w:rStyle w:val="Strong"/>
          <w:rFonts w:cs="Times New Roman" w:ascii="Times New Roman" w:hAnsi="Times New Roman"/>
          <w:b/>
          <w:bCs w:val="false"/>
        </w:rPr>
        <w:t>3. Access Control Validation</w:t>
      </w:r>
    </w:p>
    <w:p>
      <w:pPr>
        <w:pStyle w:val="Normal"/>
        <w:rPr>
          <w:rFonts w:ascii="Times New Roman" w:hAnsi="Times New Roman" w:cs="Times New Roman"/>
          <w:b/>
          <w:b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34050" cy="3038475"/>
                <wp:effectExtent l="0" t="0" r="0" b="0"/>
                <wp:docPr id="4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" descr=""/>
                        <pic:cNvPicPr/>
                      </pic:nvPicPr>
                      <pic:blipFill>
                        <a:blip r:embed="rId5"/>
                        <a:stretch/>
                      </pic:blipFill>
                      <pic:spPr>
                        <a:xfrm>
                          <a:off x="0" y="0"/>
                          <a:ext cx="5734080" cy="30384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239.3pt;width:451.45pt;height:239.2pt;mso-wrap-style:none;v-text-anchor:middle;mso-position-vertical:top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63"/>
        <w:gridCol w:w="6752"/>
      </w:tblGrid>
      <w:tr>
        <w:trPr/>
        <w:tc>
          <w:tcPr>
            <w:tcW w:w="22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bCs/>
                <w:sz w:val="28"/>
                <w:szCs w:val="28"/>
              </w:rPr>
            </w:pPr>
            <w:r>
              <w:rPr>
                <w:rStyle w:val="Strong"/>
                <w:rFonts w:eastAsia="Calibri" w:cs="Times New Roman" w:ascii="Times New Roman" w:hAnsi="Times New Roman"/>
                <w:kern w:val="0"/>
                <w:sz w:val="28"/>
                <w:szCs w:val="28"/>
                <w:lang w:val="en-IN" w:eastAsia="en-GB" w:bidi="ar-SA"/>
              </w:rPr>
              <w:t>Parameter</w:t>
            </w:r>
          </w:p>
        </w:tc>
        <w:tc>
          <w:tcPr>
            <w:tcW w:w="6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bCs/>
                <w:sz w:val="28"/>
                <w:szCs w:val="28"/>
              </w:rPr>
            </w:pPr>
            <w:r>
              <w:rPr>
                <w:rStyle w:val="Strong"/>
                <w:rFonts w:eastAsia="Calibri" w:cs="Times New Roman" w:ascii="Times New Roman" w:hAnsi="Times New Roman"/>
                <w:kern w:val="0"/>
                <w:sz w:val="28"/>
                <w:szCs w:val="28"/>
                <w:lang w:val="en-IN" w:eastAsia="en-GB" w:bidi="ar-SA"/>
              </w:rPr>
              <w:t>Values</w:t>
            </w:r>
          </w:p>
        </w:tc>
      </w:tr>
      <w:tr>
        <w:trPr/>
        <w:tc>
          <w:tcPr>
            <w:tcW w:w="22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eastAsia="Calibri" w:cs="Times New Roman" w:ascii="Times New Roman" w:hAnsi="Times New Roman"/>
                <w:kern w:val="0"/>
                <w:sz w:val="28"/>
                <w:szCs w:val="28"/>
                <w:lang w:val="en-IN" w:eastAsia="en-GB" w:bidi="ar-SA"/>
              </w:rPr>
              <w:t>Model Summary</w:t>
            </w:r>
          </w:p>
        </w:tc>
        <w:tc>
          <w:tcPr>
            <w:tcW w:w="6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IN" w:eastAsia="en-GB" w:bidi="ar-SA"/>
              </w:rPr>
              <w:t>Implements rule-based access validation to restrict unauthorized actions and ensure users operate within assigned permissions.</w:t>
            </w:r>
          </w:p>
        </w:tc>
      </w:tr>
      <w:tr>
        <w:trPr/>
        <w:tc>
          <w:tcPr>
            <w:tcW w:w="22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eastAsia="Calibri" w:cs="Times New Roman" w:ascii="Times New Roman" w:hAnsi="Times New Roman"/>
                <w:kern w:val="0"/>
                <w:sz w:val="28"/>
                <w:szCs w:val="28"/>
                <w:lang w:val="en-IN" w:eastAsia="en-GB" w:bidi="ar-SA"/>
              </w:rPr>
              <w:t>Accuracy</w:t>
            </w:r>
          </w:p>
        </w:tc>
        <w:tc>
          <w:tcPr>
            <w:tcW w:w="6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IN" w:eastAsia="en-GB" w:bidi="ar-SA"/>
              </w:rPr>
              <w:t xml:space="preserve">Execution Success Rate – </w:t>
            </w:r>
            <w:r>
              <w:rPr>
                <w:rStyle w:val="Strong"/>
                <w:rFonts w:eastAsia="Calibri" w:cs="Times New Roman" w:ascii="Times New Roman" w:hAnsi="Times New Roman"/>
                <w:kern w:val="0"/>
                <w:sz w:val="28"/>
                <w:szCs w:val="28"/>
                <w:lang w:val="en-IN" w:eastAsia="en-GB" w:bidi="ar-SA"/>
              </w:rPr>
              <w:t>98%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IN" w:eastAsia="en-GB" w:bidi="ar-SA"/>
              </w:rPr>
              <w:t>. Manual and automated tests confirmed correct access enforcement.</w:t>
            </w:r>
          </w:p>
        </w:tc>
      </w:tr>
      <w:tr>
        <w:trPr/>
        <w:tc>
          <w:tcPr>
            <w:tcW w:w="22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eastAsia="Calibri" w:cs="Times New Roman" w:ascii="Times New Roman" w:hAnsi="Times New Roman"/>
                <w:kern w:val="0"/>
                <w:sz w:val="28"/>
                <w:szCs w:val="28"/>
                <w:lang w:val="en-IN" w:eastAsia="en-GB" w:bidi="ar-SA"/>
              </w:rPr>
              <w:t>Confidence Score (Rule Effectiveness)</w:t>
            </w:r>
          </w:p>
        </w:tc>
        <w:tc>
          <w:tcPr>
            <w:tcW w:w="6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IN" w:eastAsia="en-GB" w:bidi="ar-SA"/>
              </w:rPr>
              <w:t xml:space="preserve">Confidence – </w:t>
            </w:r>
            <w:r>
              <w:rPr>
                <w:rStyle w:val="Strong"/>
                <w:rFonts w:eastAsia="Calibri" w:cs="Times New Roman" w:ascii="Times New Roman" w:hAnsi="Times New Roman"/>
                <w:kern w:val="0"/>
                <w:sz w:val="28"/>
                <w:szCs w:val="28"/>
                <w:lang w:val="en-IN" w:eastAsia="en-GB" w:bidi="ar-SA"/>
              </w:rPr>
              <w:t>95%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IN" w:eastAsia="en-GB" w:bidi="ar-SA"/>
              </w:rPr>
              <w:t xml:space="preserve"> validation accuracy ensuring compliance with access control policies.</w:t>
            </w:r>
          </w:p>
        </w:tc>
      </w:tr>
    </w:tbl>
    <w:p>
      <w:pPr>
        <w:pStyle w:val="Normal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Heading3"/>
        <w:rPr>
          <w:rFonts w:ascii="Times New Roman" w:hAnsi="Times New Roman" w:cs="Times New Roman"/>
        </w:rPr>
      </w:pPr>
      <w:r>
        <w:rPr>
          <w:rStyle w:val="Strong"/>
          <w:rFonts w:cs="Times New Roman" w:ascii="Times New Roman" w:hAnsi="Times New Roman"/>
          <w:b/>
          <w:bCs w:val="false"/>
        </w:rPr>
        <w:t>4. Workflow Automation Testing</w:t>
      </w:r>
    </w:p>
    <w:p>
      <w:pPr>
        <w:pStyle w:val="Normal"/>
        <w:rPr>
          <w:rFonts w:ascii="Times New Roman" w:hAnsi="Times New Roman" w:cs="Times New Roman"/>
          <w:b/>
          <w:b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34050" cy="2695575"/>
                <wp:effectExtent l="0" t="0" r="0" b="0"/>
                <wp:docPr id="5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" descr="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5734080" cy="26956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212.3pt;width:451.45pt;height:212.2pt;mso-wrap-style:none;v-text-anchor:middle;mso-position-vertical:top" type="_x0000_t75">
                <v:imagedata r:id="rId6" o:detectmouseclick="t"/>
                <v:stroke color="#3465a4" joinstyle="round" endcap="flat"/>
                <w10:wrap type="none"/>
              </v:shape>
            </w:pict>
          </mc:Fallback>
        </mc:AlternateContent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63"/>
        <w:gridCol w:w="6752"/>
      </w:tblGrid>
      <w:tr>
        <w:trPr/>
        <w:tc>
          <w:tcPr>
            <w:tcW w:w="22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bCs/>
                <w:sz w:val="28"/>
                <w:szCs w:val="28"/>
              </w:rPr>
            </w:pPr>
            <w:r>
              <w:rPr>
                <w:rStyle w:val="Strong"/>
                <w:rFonts w:eastAsia="Calibri" w:cs="Times New Roman" w:ascii="Times New Roman" w:hAnsi="Times New Roman"/>
                <w:kern w:val="0"/>
                <w:sz w:val="28"/>
                <w:szCs w:val="28"/>
                <w:lang w:val="en-IN" w:eastAsia="en-GB" w:bidi="ar-SA"/>
              </w:rPr>
              <w:t>Parameter</w:t>
            </w:r>
          </w:p>
        </w:tc>
        <w:tc>
          <w:tcPr>
            <w:tcW w:w="6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bCs/>
                <w:sz w:val="28"/>
                <w:szCs w:val="28"/>
              </w:rPr>
            </w:pPr>
            <w:r>
              <w:rPr>
                <w:rStyle w:val="Strong"/>
                <w:rFonts w:eastAsia="Calibri" w:cs="Times New Roman" w:ascii="Times New Roman" w:hAnsi="Times New Roman"/>
                <w:kern w:val="0"/>
                <w:sz w:val="28"/>
                <w:szCs w:val="28"/>
                <w:lang w:val="en-IN" w:eastAsia="en-GB" w:bidi="ar-SA"/>
              </w:rPr>
              <w:t>Values</w:t>
            </w:r>
          </w:p>
        </w:tc>
      </w:tr>
      <w:tr>
        <w:trPr/>
        <w:tc>
          <w:tcPr>
            <w:tcW w:w="22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eastAsia="Calibri" w:cs="Times New Roman" w:ascii="Times New Roman" w:hAnsi="Times New Roman"/>
                <w:kern w:val="0"/>
                <w:sz w:val="28"/>
                <w:szCs w:val="28"/>
                <w:lang w:val="en-IN" w:eastAsia="en-GB" w:bidi="ar-SA"/>
              </w:rPr>
              <w:t>Model Summary</w:t>
            </w:r>
          </w:p>
        </w:tc>
        <w:tc>
          <w:tcPr>
            <w:tcW w:w="6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IN" w:eastAsia="en-GB" w:bidi="ar-SA"/>
              </w:rPr>
              <w:t>Tests the approval and notification workflow during user, group, or role modification. Ensures actions trigger proper review, approval, and audit events.</w:t>
            </w:r>
          </w:p>
        </w:tc>
      </w:tr>
      <w:tr>
        <w:trPr/>
        <w:tc>
          <w:tcPr>
            <w:tcW w:w="22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eastAsia="Calibri" w:cs="Times New Roman" w:ascii="Times New Roman" w:hAnsi="Times New Roman"/>
                <w:kern w:val="0"/>
                <w:sz w:val="28"/>
                <w:szCs w:val="28"/>
                <w:lang w:val="en-IN" w:eastAsia="en-GB" w:bidi="ar-SA"/>
              </w:rPr>
              <w:t>Accuracy</w:t>
            </w:r>
          </w:p>
        </w:tc>
        <w:tc>
          <w:tcPr>
            <w:tcW w:w="6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IN" w:eastAsia="en-GB" w:bidi="ar-SA"/>
              </w:rPr>
              <w:t xml:space="preserve">Execution Success Rate – </w:t>
            </w:r>
            <w:r>
              <w:rPr>
                <w:rStyle w:val="Strong"/>
                <w:rFonts w:eastAsia="Calibri" w:cs="Times New Roman" w:ascii="Times New Roman" w:hAnsi="Times New Roman"/>
                <w:kern w:val="0"/>
                <w:sz w:val="28"/>
                <w:szCs w:val="28"/>
                <w:lang w:val="en-IN" w:eastAsia="en-GB" w:bidi="ar-SA"/>
              </w:rPr>
              <w:t>97%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IN" w:eastAsia="en-GB" w:bidi="ar-SA"/>
              </w:rPr>
              <w:t>. All approval paths and escalations executed with expected timing and results.</w:t>
            </w:r>
          </w:p>
        </w:tc>
      </w:tr>
      <w:tr>
        <w:trPr/>
        <w:tc>
          <w:tcPr>
            <w:tcW w:w="22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eastAsia="Calibri" w:cs="Times New Roman" w:ascii="Times New Roman" w:hAnsi="Times New Roman"/>
                <w:kern w:val="0"/>
                <w:sz w:val="28"/>
                <w:szCs w:val="28"/>
                <w:lang w:val="en-IN" w:eastAsia="en-GB" w:bidi="ar-SA"/>
              </w:rPr>
              <w:t>Confidence Score (Rule Effectiveness)</w:t>
            </w:r>
          </w:p>
        </w:tc>
        <w:tc>
          <w:tcPr>
            <w:tcW w:w="6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IN" w:eastAsia="en-GB" w:bidi="ar-SA"/>
              </w:rPr>
              <w:t xml:space="preserve">Confidence – </w:t>
            </w:r>
            <w:r>
              <w:rPr>
                <w:rStyle w:val="Strong"/>
                <w:rFonts w:eastAsia="Calibri" w:cs="Times New Roman" w:ascii="Times New Roman" w:hAnsi="Times New Roman"/>
                <w:kern w:val="0"/>
                <w:sz w:val="28"/>
                <w:szCs w:val="28"/>
                <w:lang w:val="en-IN" w:eastAsia="en-GB" w:bidi="ar-SA"/>
              </w:rPr>
              <w:t>96%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IN" w:eastAsia="en-GB" w:bidi="ar-SA"/>
              </w:rPr>
              <w:t xml:space="preserve"> workflow execution consistency and timing reliability.</w:t>
            </w:r>
          </w:p>
        </w:tc>
      </w:tr>
    </w:tbl>
    <w:p>
      <w:pPr>
        <w:pStyle w:val="Normal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Heading3"/>
        <w:rPr>
          <w:rStyle w:val="Strong"/>
          <w:rFonts w:ascii="Times New Roman" w:hAnsi="Times New Roman" w:cs="Times New Roman"/>
          <w:b/>
          <w:b/>
          <w:bCs w:val="false"/>
        </w:rPr>
      </w:pPr>
      <w:r>
        <w:rPr>
          <w:rStyle w:val="Strong"/>
          <w:rFonts w:cs="Times New Roman" w:ascii="Times New Roman" w:hAnsi="Times New Roman"/>
          <w:b/>
          <w:bCs w:val="false"/>
        </w:rPr>
        <w:t>5. Access Revocation and Cleanup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b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24525" cy="3228975"/>
                <wp:effectExtent l="0" t="0" r="0" b="0"/>
                <wp:docPr id="6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" descr=""/>
                        <pic:cNvPicPr/>
                      </pic:nvPicPr>
                      <pic:blipFill>
                        <a:blip r:embed="rId7"/>
                        <a:stretch/>
                      </pic:blipFill>
                      <pic:spPr>
                        <a:xfrm>
                          <a:off x="0" y="0"/>
                          <a:ext cx="5724360" cy="32288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254.3pt;width:450.7pt;height:254.2pt;mso-wrap-style:none;v-text-anchor:middle;mso-position-vertical:top" type="_x0000_t75">
                <v:imagedata r:id="rId7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tbl>
      <w:tblPr>
        <w:tblStyle w:val="TableGrid"/>
        <w:tblW w:w="90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74"/>
        <w:gridCol w:w="6785"/>
      </w:tblGrid>
      <w:tr>
        <w:trPr>
          <w:trHeight w:val="419" w:hRule="atLeast"/>
        </w:trPr>
        <w:tc>
          <w:tcPr>
            <w:tcW w:w="22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bCs/>
                <w:sz w:val="28"/>
                <w:szCs w:val="28"/>
              </w:rPr>
            </w:pPr>
            <w:r>
              <w:rPr>
                <w:rStyle w:val="Strong"/>
                <w:rFonts w:eastAsia="Calibri" w:cs="Times New Roman" w:ascii="Times New Roman" w:hAnsi="Times New Roman"/>
                <w:kern w:val="0"/>
                <w:sz w:val="28"/>
                <w:szCs w:val="28"/>
                <w:lang w:val="en-IN" w:eastAsia="en-GB" w:bidi="ar-SA"/>
              </w:rPr>
              <w:t>Parameter</w:t>
            </w:r>
          </w:p>
        </w:tc>
        <w:tc>
          <w:tcPr>
            <w:tcW w:w="67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bCs/>
                <w:sz w:val="28"/>
                <w:szCs w:val="28"/>
              </w:rPr>
            </w:pPr>
            <w:r>
              <w:rPr>
                <w:rStyle w:val="Strong"/>
                <w:rFonts w:eastAsia="Calibri" w:cs="Times New Roman" w:ascii="Times New Roman" w:hAnsi="Times New Roman"/>
                <w:kern w:val="0"/>
                <w:sz w:val="28"/>
                <w:szCs w:val="28"/>
                <w:lang w:val="en-IN" w:eastAsia="en-GB" w:bidi="ar-SA"/>
              </w:rPr>
              <w:t>Values</w:t>
            </w:r>
          </w:p>
        </w:tc>
      </w:tr>
      <w:tr>
        <w:trPr>
          <w:trHeight w:val="1278" w:hRule="atLeast"/>
        </w:trPr>
        <w:tc>
          <w:tcPr>
            <w:tcW w:w="22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eastAsia="Calibri" w:cs="Times New Roman" w:ascii="Times New Roman" w:hAnsi="Times New Roman"/>
                <w:kern w:val="0"/>
                <w:sz w:val="28"/>
                <w:szCs w:val="28"/>
                <w:lang w:val="en-IN" w:eastAsia="en-GB" w:bidi="ar-SA"/>
              </w:rPr>
              <w:t>Model Summary</w:t>
            </w:r>
          </w:p>
        </w:tc>
        <w:tc>
          <w:tcPr>
            <w:tcW w:w="67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IN" w:eastAsia="en-GB" w:bidi="ar-SA"/>
              </w:rPr>
              <w:t>Tests the approval and notification workflow during user, group, or role modification. Ensures actions trigger proper review, approval, and audit events.</w:t>
            </w:r>
          </w:p>
        </w:tc>
      </w:tr>
      <w:tr>
        <w:trPr>
          <w:trHeight w:val="858" w:hRule="atLeast"/>
        </w:trPr>
        <w:tc>
          <w:tcPr>
            <w:tcW w:w="22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eastAsia="Calibri" w:cs="Times New Roman" w:ascii="Times New Roman" w:hAnsi="Times New Roman"/>
                <w:kern w:val="0"/>
                <w:sz w:val="28"/>
                <w:szCs w:val="28"/>
                <w:lang w:val="en-IN" w:eastAsia="en-GB" w:bidi="ar-SA"/>
              </w:rPr>
              <w:t>Accuracy</w:t>
            </w:r>
          </w:p>
        </w:tc>
        <w:tc>
          <w:tcPr>
            <w:tcW w:w="67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IN" w:eastAsia="en-GB" w:bidi="ar-SA"/>
              </w:rPr>
              <w:t xml:space="preserve">Execution Success Rate – </w:t>
            </w:r>
            <w:r>
              <w:rPr>
                <w:rStyle w:val="Strong"/>
                <w:rFonts w:eastAsia="Calibri" w:cs="Times New Roman" w:ascii="Times New Roman" w:hAnsi="Times New Roman"/>
                <w:kern w:val="0"/>
                <w:sz w:val="28"/>
                <w:szCs w:val="28"/>
                <w:lang w:val="en-IN" w:eastAsia="en-GB" w:bidi="ar-SA"/>
              </w:rPr>
              <w:t>97%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IN" w:eastAsia="en-GB" w:bidi="ar-SA"/>
              </w:rPr>
              <w:t>. All approval paths and escalations executed with expected timing and results.</w:t>
            </w:r>
          </w:p>
        </w:tc>
      </w:tr>
      <w:tr>
        <w:trPr>
          <w:trHeight w:val="1278" w:hRule="atLeast"/>
        </w:trPr>
        <w:tc>
          <w:tcPr>
            <w:tcW w:w="22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eastAsia="Calibri" w:cs="Times New Roman" w:ascii="Times New Roman" w:hAnsi="Times New Roman"/>
                <w:kern w:val="0"/>
                <w:sz w:val="28"/>
                <w:szCs w:val="28"/>
                <w:lang w:val="en-IN" w:eastAsia="en-GB" w:bidi="ar-SA"/>
              </w:rPr>
              <w:t>Confidence Score (Rule Effectiveness)</w:t>
            </w:r>
          </w:p>
        </w:tc>
        <w:tc>
          <w:tcPr>
            <w:tcW w:w="67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IN" w:eastAsia="en-GB" w:bidi="ar-SA"/>
              </w:rPr>
              <w:t xml:space="preserve">Confidence – </w:t>
            </w:r>
            <w:r>
              <w:rPr>
                <w:rStyle w:val="Strong"/>
                <w:rFonts w:eastAsia="Calibri" w:cs="Times New Roman" w:ascii="Times New Roman" w:hAnsi="Times New Roman"/>
                <w:kern w:val="0"/>
                <w:sz w:val="28"/>
                <w:szCs w:val="28"/>
                <w:lang w:val="en-IN" w:eastAsia="en-GB" w:bidi="ar-SA"/>
              </w:rPr>
              <w:t>96%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IN" w:eastAsia="en-GB" w:bidi="ar-SA"/>
              </w:rPr>
              <w:t xml:space="preserve"> workflow execution consistency and timing reliability.</w:t>
            </w:r>
          </w:p>
        </w:tc>
      </w:tr>
    </w:tbl>
    <w:p>
      <w:pPr>
        <w:pStyle w:val="Normal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Heading2"/>
        <w:rPr>
          <w:rFonts w:ascii="Times New Roman" w:hAnsi="Times New Roman" w:cs="Times New Roman"/>
          <w:sz w:val="44"/>
        </w:rPr>
      </w:pPr>
      <w:r>
        <w:rPr>
          <w:rStyle w:val="Strong"/>
          <w:rFonts w:cs="Times New Roman" w:ascii="Times New Roman" w:hAnsi="Times New Roman"/>
          <w:b/>
          <w:bCs w:val="false"/>
          <w:sz w:val="44"/>
        </w:rPr>
        <w:t>Performance Summary</w:t>
      </w:r>
    </w:p>
    <w:p>
      <w:pPr>
        <w:pStyle w:val="NormalWeb"/>
        <w:spacing w:before="280" w:after="280"/>
        <w:rPr>
          <w:sz w:val="32"/>
        </w:rPr>
      </w:pPr>
      <w:r>
        <w:rPr>
          <w:sz w:val="32"/>
        </w:rPr>
        <w:t xml:space="preserve">The system demonstrated </w:t>
      </w:r>
      <w:r>
        <w:rPr>
          <w:rStyle w:val="Strong"/>
          <w:sz w:val="32"/>
        </w:rPr>
        <w:t>high accuracy and consistency</w:t>
      </w:r>
      <w:r>
        <w:rPr>
          <w:sz w:val="32"/>
        </w:rPr>
        <w:t xml:space="preserve">, achieving an overall </w:t>
      </w:r>
      <w:r>
        <w:rPr>
          <w:rStyle w:val="Strong"/>
          <w:sz w:val="32"/>
        </w:rPr>
        <w:t>execution success rate of 97–98%</w:t>
      </w:r>
      <w:r>
        <w:rPr>
          <w:sz w:val="32"/>
        </w:rPr>
        <w:t xml:space="preserve"> across all test scenarios. Confidence scores confirm strong rule enforcement, ensuring secure access management and smooth workflow operations.</w:t>
      </w:r>
    </w:p>
    <w:p>
      <w:pPr>
        <w:pStyle w:val="NormalWeb"/>
        <w:spacing w:before="280" w:after="280"/>
        <w:rPr>
          <w:sz w:val="32"/>
        </w:rPr>
      </w:pPr>
      <w:r>
        <w:rPr>
          <w:sz w:val="32"/>
        </w:rPr>
        <w:t xml:space="preserve">This testing phase confirms that the </w:t>
      </w:r>
      <w:r>
        <w:rPr>
          <w:rStyle w:val="Strong"/>
          <w:sz w:val="32"/>
        </w:rPr>
        <w:t>Optimized User, Group, and Role Management System</w:t>
      </w:r>
      <w:r>
        <w:rPr>
          <w:sz w:val="32"/>
        </w:rPr>
        <w:t xml:space="preserve"> is production-ready, providing enhanced security, reliability, and administrative efficiency within automated access control workflows.</w:t>
      </w:r>
    </w:p>
    <w:sectPr>
      <w:type w:val="nextPage"/>
      <w:pgSz w:w="11906" w:h="16838"/>
      <w:pgMar w:left="1440" w:right="1440" w:gutter="0" w:header="0" w:top="851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en-GB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b1e12"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en-GB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sid w:val="003c4a8e"/>
    <w:rPr>
      <w:color w:val="605E5C"/>
      <w:shd w:fill="E1DFDD" w:val="clear"/>
    </w:rPr>
  </w:style>
  <w:style w:type="character" w:styleId="Strong">
    <w:name w:val="Strong"/>
    <w:basedOn w:val="DefaultParagraphFont"/>
    <w:uiPriority w:val="22"/>
    <w:qFormat/>
    <w:rsid w:val="00b3113f"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sid w:val="00ab1e12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ab1e12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qFormat/>
    <w:rsid w:val="00b3113f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GB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ab1e12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ab1e12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3.jpeg"/><Relationship Id="rId6" Type="http://schemas.openxmlformats.org/officeDocument/2006/relationships/image" Target="media/image4.jpeg"/><Relationship Id="rId7" Type="http://schemas.openxmlformats.org/officeDocument/2006/relationships/image" Target="media/image5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LibreOffice/7.3.7.2$Linux_X86_64 LibreOffice_project/30$Build-2</Application>
  <AppVersion>15.0000</AppVersion>
  <Pages>5</Pages>
  <Words>385</Words>
  <Characters>2618</Characters>
  <CharactersWithSpaces>2956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2025-10-31T05:50:00Z</dcterms:created>
  <dc:creator>Amarender Katkam</dc:creator>
  <dc:description/>
  <dc:language>en-IN</dc:language>
  <cp:lastModifiedBy/>
  <dcterms:modified xsi:type="dcterms:W3CDTF">2025-11-03T12:10:03Z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