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tif" ContentType="image/tiff"/>
  <Override PartName="/word/media/image2.png" ContentType="image/png"/>
  <Override PartName="/word/media/image3.ti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Morphometrics</w:t>
      </w:r>
      <w:r>
        <w:t xml:space="preserve"> </w:t>
      </w:r>
      <w:r>
        <w:t xml:space="preserve">and</w:t>
      </w:r>
      <w:r>
        <w:t xml:space="preserve"> </w:t>
      </w:r>
      <w:r>
        <w:t xml:space="preserve">allometry</w:t>
      </w:r>
      <w:r>
        <w:t xml:space="preserve"> </w:t>
      </w:r>
      <w:r>
        <w:t xml:space="preserve">in</w:t>
      </w:r>
      <w:r>
        <w:t xml:space="preserve"> </w:t>
      </w:r>
      <w:r>
        <w:t xml:space="preserve">tuna</w:t>
      </w:r>
      <w:r>
        <w:t xml:space="preserve"> </w:t>
      </w:r>
      <w:r>
        <w:t xml:space="preserve">from</w:t>
      </w:r>
      <w:r>
        <w:t xml:space="preserve"> </w:t>
      </w:r>
      <w:r>
        <w:t xml:space="preserve">the</w:t>
      </w:r>
      <w:r>
        <w:t xml:space="preserve"> </w:t>
      </w:r>
      <w:r>
        <w:t xml:space="preserve">tropical</w:t>
      </w:r>
      <w:r>
        <w:t xml:space="preserve"> </w:t>
      </w:r>
      <w:r>
        <w:t xml:space="preserve">Atlantic</w:t>
      </w:r>
      <w:r>
        <w:t xml:space="preserve"> </w:t>
      </w:r>
      <w:r>
        <w:t xml:space="preserve">and</w:t>
      </w:r>
      <w:r>
        <w:t xml:space="preserve"> </w:t>
      </w:r>
      <w:r>
        <w:t xml:space="preserve">Indian</w:t>
      </w:r>
      <w:r>
        <w:t xml:space="preserve"> </w:t>
      </w:r>
      <w:r>
        <w:t xml:space="preserve">Oceans</w:t>
      </w:r>
    </w:p>
    <w:p>
      <w:pPr>
        <w:pStyle w:val="Author"/>
      </w:pPr>
      <w:r>
        <w:t xml:space="preserve">Chassot</w:t>
      </w:r>
      <w:r>
        <w:t xml:space="preserve"> </w:t>
      </w:r>
      <w:r>
        <w:t xml:space="preserve">Emmanuel</w:t>
      </w:r>
      <w:r>
        <w:rPr>
          <w:vertAlign w:val="superscript"/>
        </w:rPr>
        <w:t xml:space="preserve">1,2</w:t>
      </w:r>
      <w:r>
        <w:t xml:space="preserve">,</w:t>
      </w:r>
      <w:r>
        <w:t xml:space="preserve"> </w:t>
      </w:r>
      <w:r>
        <w:t xml:space="preserve">Nathalie</w:t>
      </w:r>
      <w:r>
        <w:t xml:space="preserve"> </w:t>
      </w:r>
      <w:r>
        <w:t xml:space="preserve">Bodin</w:t>
      </w:r>
      <w:r>
        <w:rPr>
          <w:vertAlign w:val="superscript"/>
        </w:rPr>
        <w:t xml:space="preserve">1,2,4</w:t>
      </w:r>
      <w:r>
        <w:t xml:space="preserve">,</w:t>
      </w:r>
      <w:r>
        <w:t xml:space="preserve"> </w:t>
      </w:r>
      <w:r>
        <w:t xml:space="preserve">Constance</w:t>
      </w:r>
      <w:r>
        <w:t xml:space="preserve"> </w:t>
      </w:r>
      <w:r>
        <w:t xml:space="preserve">Diaha</w:t>
      </w:r>
      <w:r>
        <w:rPr>
          <w:vertAlign w:val="superscript"/>
        </w:rPr>
        <w:t xml:space="preserve">3</w:t>
      </w:r>
      <w:r>
        <w:t xml:space="preserve">,</w:t>
      </w:r>
      <w:r>
        <w:t xml:space="preserve"> </w:t>
      </w:r>
      <w:r>
        <w:t xml:space="preserve">Cindy</w:t>
      </w:r>
      <w:r>
        <w:t xml:space="preserve"> </w:t>
      </w:r>
      <w:r>
        <w:t xml:space="preserve">Assan</w:t>
      </w:r>
      <w:r>
        <w:rPr>
          <w:vertAlign w:val="superscript"/>
        </w:rPr>
        <w:t xml:space="preserve">4</w:t>
      </w:r>
      <w:r>
        <w:t xml:space="preserve">,</w:t>
      </w:r>
      <w:r>
        <w:t xml:space="preserve"> </w:t>
      </w:r>
      <w:r>
        <w:t xml:space="preserve">Aurélie</w:t>
      </w:r>
      <w:r>
        <w:t xml:space="preserve"> </w:t>
      </w:r>
      <w:r>
        <w:t xml:space="preserve">Guillou</w:t>
      </w:r>
      <w:r>
        <w:rPr>
          <w:vertAlign w:val="superscript"/>
        </w:rPr>
        <w:t xml:space="preserve">1</w:t>
      </w:r>
      <w:r>
        <w:t xml:space="preserve">,</w:t>
      </w:r>
      <w:r>
        <w:t xml:space="preserve"> </w:t>
      </w:r>
      <w:r>
        <w:t xml:space="preserve">Julien</w:t>
      </w:r>
      <w:r>
        <w:t xml:space="preserve"> </w:t>
      </w:r>
      <w:r>
        <w:t xml:space="preserve">Lebranchu</w:t>
      </w:r>
      <w:r>
        <w:rPr>
          <w:vertAlign w:val="superscript"/>
        </w:rPr>
        <w:t xml:space="preserve">1,</w:t>
      </w:r>
      <m:oMath>
        <m:sSup>
          <m:e>
            <m:r>
              <m:t>​</m:t>
            </m:r>
          </m:e>
          <m:sup>
            <m:r>
              <m:rPr>
                <m:sty m:val="p"/>
              </m:rPr>
              <m:t>†</m:t>
            </m:r>
          </m:sup>
        </m:sSup>
      </m:oMath>
    </w:p>
    <w:p>
      <w:pPr>
        <w:pStyle w:val="Date"/>
      </w:pPr>
      <w:r>
        <w:t xml:space="preserve">05</w:t>
      </w:r>
      <w:r>
        <w:t xml:space="preserve"> </w:t>
      </w:r>
      <w:r>
        <w:t xml:space="preserve">January</w:t>
      </w:r>
      <w:r>
        <w:t xml:space="preserve"> </w:t>
      </w:r>
      <w:r>
        <w:t xml:space="preserve">2022</w:t>
      </w:r>
    </w:p>
    <w:bookmarkStart w:id="21" w:name="authors-affiliations"/>
    <w:p>
      <w:pPr>
        <w:pStyle w:val="Heading2"/>
      </w:pPr>
      <w:r>
        <w:t xml:space="preserve">Authors’ affiliations</w:t>
      </w:r>
    </w:p>
    <w:p>
      <w:pPr>
        <w:pStyle w:val="FirstParagraph"/>
      </w:pPr>
      <w:r>
        <w:rPr>
          <w:vertAlign w:val="superscript"/>
        </w:rPr>
        <w:t xml:space="preserve">1</w:t>
      </w:r>
      <w:r>
        <w:t xml:space="preserve"> </w:t>
      </w:r>
      <w:r>
        <w:t xml:space="preserve">Research Institute for Sustainable Development (IRD), Victoria, Mahé, Seychelles</w:t>
      </w:r>
    </w:p>
    <w:p>
      <w:pPr>
        <w:pStyle w:val="BodyText"/>
      </w:pPr>
      <w:r>
        <w:rPr>
          <w:vertAlign w:val="superscript"/>
        </w:rPr>
        <w:t xml:space="preserve">2</w:t>
      </w:r>
      <w:r>
        <w:t xml:space="preserve"> </w:t>
      </w:r>
      <w:r>
        <w:t xml:space="preserve">Indian Ocean Tuna Commission (IOTC) (present affiliation)</w:t>
      </w:r>
    </w:p>
    <w:p>
      <w:pPr>
        <w:pStyle w:val="BodyText"/>
      </w:pPr>
      <w:r>
        <w:rPr>
          <w:vertAlign w:val="superscript"/>
        </w:rPr>
        <w:t xml:space="preserve">3</w:t>
      </w:r>
      <w:r>
        <w:t xml:space="preserve"> </w:t>
      </w:r>
      <w:r>
        <w:t xml:space="preserve">Centre de Recherches Océanologiques (CRO), Abidjan, Côte d’Ivoire</w:t>
      </w:r>
    </w:p>
    <w:p>
      <w:pPr>
        <w:pStyle w:val="BodyText"/>
      </w:pPr>
      <w:r>
        <w:rPr>
          <w:vertAlign w:val="superscript"/>
        </w:rPr>
        <w:t xml:space="preserve">4</w:t>
      </w:r>
      <w:r>
        <w:t xml:space="preserve"> </w:t>
      </w:r>
      <w:r>
        <w:t xml:space="preserve">Seychelles Fishing Authority (SFA), Victoria, Mahé, Seychelles</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Julien.Lebranchu@ird.fr</w:t>
        </w:r>
      </w:hyperlink>
    </w:p>
    <w:bookmarkEnd w:id="21"/>
    <w:bookmarkStart w:id="22" w:name="abstract"/>
    <w:p>
      <w:pPr>
        <w:pStyle w:val="Heading2"/>
      </w:pPr>
      <w:r>
        <w:t xml:space="preserve">Abstract</w:t>
      </w:r>
    </w:p>
    <w:p>
      <w:pPr>
        <w:pStyle w:val="FirstParagraph"/>
      </w:pPr>
      <w:r>
        <w:rPr>
          <w:iCs/>
          <w:i/>
        </w:rPr>
        <w:t xml:space="preserve">This is the abstract</w:t>
      </w:r>
    </w:p>
    <w:p>
      <w:pPr>
        <w:pStyle w:val="BodyText"/>
      </w:pPr>
      <w:r>
        <w:rPr>
          <w:bCs/>
          <w:b/>
        </w:rPr>
        <w:t xml:space="preserve">Keywords:</w:t>
      </w:r>
      <w:r>
        <w:t xml:space="preserve"> </w:t>
      </w:r>
      <w:r>
        <w:t xml:space="preserve">eastern Atlantic Ocean, length-weight relationships; tuna fisheries; Western Indian Ocean</w:t>
      </w:r>
    </w:p>
    <w:p>
      <w:r>
        <w:br w:type="page"/>
      </w:r>
    </w:p>
    <w:bookmarkEnd w:id="22"/>
    <w:bookmarkStart w:id="31" w:name="introduction"/>
    <w:p>
      <w:pPr>
        <w:pStyle w:val="Heading1"/>
      </w:pPr>
      <w:r>
        <w:t xml:space="preserve">Introduction</w:t>
      </w:r>
    </w:p>
    <w:p>
      <w:pPr>
        <w:pStyle w:val="FirstParagraph"/>
      </w:pPr>
      <w:r>
        <w:t xml:space="preserve">Morphometric data are widely used to derive conversion factors and relationships in order to (i) standardize different types of measurements collected on fish from various sources (e.g., fishermen, scientific observers at sea), (ii) estimate biomass from length observations since the collection of precise and accurate data on fish weight is generally difficult for logistical reasons, and (iii) derive condition factors aimed at measuring the energetic status of fish</w:t>
      </w:r>
      <w:r>
        <w:t xml:space="preserve"> </w:t>
      </w:r>
      <w:r>
        <w:t xml:space="preserve">(</w:t>
      </w:r>
      <w:hyperlink w:anchor="ref-Ricker1975">
        <w:r>
          <w:rPr>
            <w:rStyle w:val="Hyperlink"/>
          </w:rPr>
          <w:t xml:space="preserve">Ricker 1975</w:t>
        </w:r>
      </w:hyperlink>
      <w:r>
        <w:t xml:space="preserve">;</w:t>
      </w:r>
      <w:r>
        <w:t xml:space="preserve"> </w:t>
      </w:r>
      <w:hyperlink w:anchor="ref-Bolger1989">
        <w:r>
          <w:rPr>
            <w:rStyle w:val="Hyperlink"/>
          </w:rPr>
          <w:t xml:space="preserve">Bolger and Connolly 1989</w:t>
        </w:r>
      </w:hyperlink>
      <w:r>
        <w:t xml:space="preserve">)</w:t>
      </w:r>
      <w:r>
        <w:t xml:space="preserve">. Morphometric relationships are instrumental in the processing of fisheries data to estimate sampling and reporting rates, track changes in size-based indicators (e.g., average weight in the catch), and derive fishery-specific size distributions required for most stock assessment models. Biased or inappropriate morphometric relationships have been shown to affect knowledge on the size structure of the catch with potential impacts on stock assessments</w:t>
      </w:r>
      <w:r>
        <w:t xml:space="preserve"> </w:t>
      </w:r>
      <w:r>
        <w:t xml:space="preserve">(</w:t>
      </w:r>
      <w:hyperlink w:anchor="ref-Gerritsen2007">
        <w:r>
          <w:rPr>
            <w:rStyle w:val="Hyperlink"/>
          </w:rPr>
          <w:t xml:space="preserve">Gerritsen and McGrath 2007</w:t>
        </w:r>
      </w:hyperlink>
      <w:r>
        <w:t xml:space="preserve">;</w:t>
      </w:r>
      <w:r>
        <w:t xml:space="preserve"> </w:t>
      </w:r>
      <w:hyperlink w:anchor="ref-MinteVera2016">
        <w:r>
          <w:rPr>
            <w:rStyle w:val="Hyperlink"/>
          </w:rPr>
          <w:t xml:space="preserve">Minte-Vera et al. 2016</w:t>
        </w:r>
      </w:hyperlink>
      <w:r>
        <w:t xml:space="preserve">)</w:t>
      </w:r>
      <w:r>
        <w:t xml:space="preserve">. Furthermore, in some mixed fisheries, the species composition of the catch in weight may be estimated from the conversion of samples of fish size, with potential major impacts on the estimates of species-specific catches if length-weight relationships are biased.</w:t>
      </w:r>
    </w:p>
    <w:p>
      <w:pPr>
        <w:pStyle w:val="BodyText"/>
      </w:pPr>
      <w:r>
        <w:t xml:space="preserve">Purse seine fishing has represented about 70% of the global tropical tuna catch over the last decade, with an estimate of more than 3.6 million metric tons in 2019. In the Indian and Atlantic Oceans, the purse seine catch of the principal market tunas, yellowfin tuna (</w:t>
      </w:r>
      <w:r>
        <w:rPr>
          <w:iCs/>
          <w:i/>
        </w:rPr>
        <w:t xml:space="preserve">Thunnus albacares</w:t>
      </w:r>
      <w:r>
        <w:t xml:space="preserve">), skipjack tuna (</w:t>
      </w:r>
      <w:r>
        <w:rPr>
          <w:iCs/>
          <w:i/>
        </w:rPr>
        <w:t xml:space="preserve">Katsuwonus pelamis</w:t>
      </w:r>
      <w:r>
        <w:t xml:space="preserve">) and bigeye tuna (</w:t>
      </w:r>
      <w:r>
        <w:rPr>
          <w:iCs/>
          <w:i/>
        </w:rPr>
        <w:t xml:space="preserve">Thunnus obesus</w:t>
      </w:r>
      <w:r>
        <w:t xml:space="preserve">), was close to 800,000 metric tons in recent years. Purse seiners also catch albacore tuna (</w:t>
      </w:r>
      <w:r>
        <w:rPr>
          <w:iCs/>
          <w:i/>
        </w:rPr>
        <w:t xml:space="preserve">Thunnus alalunga</w:t>
      </w:r>
      <w:r>
        <w:t xml:space="preserve">) to a lesser extent when they occur in mixed schools with tropical tunas. The species composition of most purse seine catch of the Indian and Atlantic is estimated from size samples of the catch performed during unloading operations that mainly take place in the ports of Abidjan (Côte d’Ivoire), Dakar (Senegal), and Victoria (Seychelles)</w:t>
      </w:r>
      <w:r>
        <w:t xml:space="preserve"> </w:t>
      </w:r>
      <w:r>
        <w:t xml:space="preserve">(</w:t>
      </w:r>
      <w:hyperlink w:anchor="ref-Pianet2000">
        <w:r>
          <w:rPr>
            <w:rStyle w:val="Hyperlink"/>
          </w:rPr>
          <w:t xml:space="preserve">Pianet et al. 2000</w:t>
        </w:r>
      </w:hyperlink>
      <w:r>
        <w:t xml:space="preserve">)</w:t>
      </w:r>
      <w:r>
        <w:t xml:space="preserve">. The collection of morphometric data on tuna has been implemented as early as the 1970s to derive the morphometric relationships required for the monitoring of purse seine fisheries occurring in the Atlantic and Indian Oceans (Guillou et al. </w:t>
      </w:r>
      <w:r>
        <w:rPr>
          <w:iCs/>
          <w:i/>
        </w:rPr>
        <w:t xml:space="preserve">submitted</w:t>
      </w:r>
      <w:r>
        <w:t xml:space="preserve">).</w:t>
      </w:r>
    </w:p>
    <w:p>
      <w:pPr>
        <w:pStyle w:val="BodyText"/>
      </w:pPr>
      <w:r>
        <w:t xml:space="preserve">The present study aims to derive length-length and length-weight relationships for the principal market tropical tunas and albacore tuna caught with purse seine in the Atlantic and Indian oceans based on the morphometric data sets collected in the principal fishing ports where tuna is landed.</w:t>
      </w:r>
    </w:p>
    <w:p>
      <w:r>
        <w:br w:type="page"/>
      </w:r>
    </w:p>
    <w:p>
      <w:r>
        <w:br w:type="page"/>
      </w:r>
    </w:p>
    <w:bookmarkStart w:id="30" w:name="refs"/>
    <w:bookmarkStart w:id="24" w:name="ref-Bolger1989"/>
    <w:p>
      <w:pPr>
        <w:pStyle w:val="Bibliography"/>
      </w:pPr>
      <w:r>
        <w:t xml:space="preserve">Bolger, T., and Connolly, P.L. 1989. The selection of suitable indices for the measurement and analysis of fish condition. Journal of Fish Biology</w:t>
      </w:r>
      <w:r>
        <w:t xml:space="preserve"> </w:t>
      </w:r>
      <w:r>
        <w:rPr>
          <w:bCs/>
          <w:b/>
        </w:rPr>
        <w:t xml:space="preserve">34</w:t>
      </w:r>
      <w:r>
        <w:t xml:space="preserve">(2): 171–182. Available from</w:t>
      </w:r>
      <w:r>
        <w:t xml:space="preserve"> </w:t>
      </w:r>
      <w:hyperlink r:id="rId23">
        <w:r>
          <w:rPr>
            <w:rStyle w:val="Hyperlink"/>
          </w:rPr>
          <w:t xml:space="preserve">http://dx.doi.org/10.1111/j.1095-8649.1989.tb03300.x</w:t>
        </w:r>
      </w:hyperlink>
      <w:r>
        <w:t xml:space="preserve">.</w:t>
      </w:r>
    </w:p>
    <w:bookmarkEnd w:id="24"/>
    <w:bookmarkStart w:id="26" w:name="ref-Gerritsen2007"/>
    <w:p>
      <w:pPr>
        <w:pStyle w:val="Bibliography"/>
      </w:pPr>
      <w:r>
        <w:t xml:space="preserve">Gerritsen, H.D., and McGrath, D. 2007. Significant differences in the length–weight relationships of neighbouring stocks can result in biased biomass estimates:</w:t>
      </w:r>
      <w:r>
        <w:t xml:space="preserve"> </w:t>
      </w:r>
      <w:r>
        <w:t xml:space="preserve">Examples</w:t>
      </w:r>
      <w:r>
        <w:t xml:space="preserve"> </w:t>
      </w:r>
      <w:r>
        <w:t xml:space="preserve">of haddock (</w:t>
      </w:r>
      <w:r>
        <w:rPr>
          <w:iCs/>
          <w:i/>
        </w:rPr>
        <w:t xml:space="preserve">Melanogrammus</w:t>
      </w:r>
      <w:r>
        <w:rPr>
          <w:iCs/>
          <w:i/>
        </w:rPr>
        <w:t xml:space="preserve"> </w:t>
      </w:r>
      <w:r>
        <w:rPr>
          <w:iCs/>
          <w:i/>
        </w:rPr>
        <w:t xml:space="preserve">aeglefinus</w:t>
      </w:r>
      <w:r>
        <w:t xml:space="preserve">,</w:t>
      </w:r>
      <w:r>
        <w:t xml:space="preserve"> </w:t>
      </w:r>
      <w:r>
        <w:t xml:space="preserve">L</w:t>
      </w:r>
      <w:r>
        <w:t xml:space="preserve">.) And whiting (</w:t>
      </w:r>
      <w:r>
        <w:rPr>
          <w:iCs/>
          <w:i/>
        </w:rPr>
        <w:t xml:space="preserve">Merlangius</w:t>
      </w:r>
      <w:r>
        <w:rPr>
          <w:iCs/>
          <w:i/>
        </w:rPr>
        <w:t xml:space="preserve"> </w:t>
      </w:r>
      <w:r>
        <w:rPr>
          <w:iCs/>
          <w:i/>
        </w:rPr>
        <w:t xml:space="preserve">merlangus</w:t>
      </w:r>
      <w:r>
        <w:t xml:space="preserve">,</w:t>
      </w:r>
      <w:r>
        <w:t xml:space="preserve"> </w:t>
      </w:r>
      <w:r>
        <w:t xml:space="preserve">L</w:t>
      </w:r>
      <w:r>
        <w:t xml:space="preserve">.). Fisheries Research</w:t>
      </w:r>
      <w:r>
        <w:t xml:space="preserve"> </w:t>
      </w:r>
      <w:r>
        <w:rPr>
          <w:bCs/>
          <w:b/>
        </w:rPr>
        <w:t xml:space="preserve">85</w:t>
      </w:r>
      <w:r>
        <w:t xml:space="preserve">(1): 106–111. doi:</w:t>
      </w:r>
      <w:hyperlink r:id="rId25">
        <w:r>
          <w:rPr>
            <w:rStyle w:val="Hyperlink"/>
          </w:rPr>
          <w:t xml:space="preserve">10.1016/j.fishres.2007.01.004</w:t>
        </w:r>
      </w:hyperlink>
      <w:r>
        <w:t xml:space="preserve">.</w:t>
      </w:r>
    </w:p>
    <w:bookmarkEnd w:id="26"/>
    <w:bookmarkStart w:id="27" w:name="ref-MinteVera2016"/>
    <w:p>
      <w:pPr>
        <w:pStyle w:val="Bibliography"/>
      </w:pPr>
      <w:r>
        <w:t xml:space="preserve">Minte-Vera, C.V., Aires-da-Silva, A., Satoh, K., and Maunder, M.N. 2016. Changes in longline size-frequency data and their effects on the stock assessment models for yellowfin and bigeye tunas.</w:t>
      </w:r>
      <w:r>
        <w:t xml:space="preserve"> </w:t>
      </w:r>
      <w:r>
        <w:rPr>
          <w:iCs/>
          <w:i/>
        </w:rPr>
        <w:t xml:space="preserve">In</w:t>
      </w:r>
      <w:r>
        <w:t xml:space="preserve"> </w:t>
      </w:r>
      <w:r>
        <w:t xml:space="preserve">Seventh meeting of the</w:t>
      </w:r>
      <w:r>
        <w:t xml:space="preserve"> </w:t>
      </w:r>
      <w:r>
        <w:t xml:space="preserve">Scientific</w:t>
      </w:r>
      <w:r>
        <w:t xml:space="preserve"> </w:t>
      </w:r>
      <w:r>
        <w:t xml:space="preserve">Advisory</w:t>
      </w:r>
      <w:r>
        <w:t xml:space="preserve"> </w:t>
      </w:r>
      <w:r>
        <w:t xml:space="preserve">Committee</w:t>
      </w:r>
      <w:r>
        <w:t xml:space="preserve"> </w:t>
      </w:r>
      <w:r>
        <w:t xml:space="preserve">of the</w:t>
      </w:r>
      <w:r>
        <w:t xml:space="preserve"> </w:t>
      </w:r>
      <w:r>
        <w:t xml:space="preserve">Inter</w:t>
      </w:r>
      <w:r>
        <w:t xml:space="preserve">-</w:t>
      </w:r>
      <w:r>
        <w:t xml:space="preserve">American</w:t>
      </w:r>
      <w:r>
        <w:t xml:space="preserve"> </w:t>
      </w:r>
      <w:r>
        <w:t xml:space="preserve">Tropical</w:t>
      </w:r>
      <w:r>
        <w:t xml:space="preserve"> </w:t>
      </w:r>
      <w:r>
        <w:t xml:space="preserve">Tuna</w:t>
      </w:r>
      <w:r>
        <w:t xml:space="preserve"> </w:t>
      </w:r>
      <w:r>
        <w:t xml:space="preserve">Commission</w:t>
      </w:r>
      <w:r>
        <w:t xml:space="preserve">, 09-13</w:t>
      </w:r>
      <w:r>
        <w:t xml:space="preserve"> </w:t>
      </w:r>
      <w:r>
        <w:t xml:space="preserve">May</w:t>
      </w:r>
      <w:r>
        <w:t xml:space="preserve"> </w:t>
      </w:r>
      <w:r>
        <w:t xml:space="preserve">2016,</w:t>
      </w:r>
      <w:r>
        <w:t xml:space="preserve"> </w:t>
      </w:r>
      <w:r>
        <w:t xml:space="preserve">La</w:t>
      </w:r>
      <w:r>
        <w:t xml:space="preserve"> </w:t>
      </w:r>
      <w:r>
        <w:t xml:space="preserve">Jolla</w:t>
      </w:r>
      <w:r>
        <w:t xml:space="preserve">,</w:t>
      </w:r>
      <w:r>
        <w:t xml:space="preserve"> </w:t>
      </w:r>
      <w:r>
        <w:t xml:space="preserve">California</w:t>
      </w:r>
      <w:r>
        <w:t xml:space="preserve">,</w:t>
      </w:r>
      <w:r>
        <w:t xml:space="preserve"> </w:t>
      </w:r>
      <w:r>
        <w:t xml:space="preserve">USA</w:t>
      </w:r>
      <w:r>
        <w:t xml:space="preserve">. IATTC, La Jolla, California (USA). p. 22.</w:t>
      </w:r>
    </w:p>
    <w:bookmarkEnd w:id="27"/>
    <w:bookmarkStart w:id="28" w:name="ref-Pianet2000"/>
    <w:p>
      <w:pPr>
        <w:pStyle w:val="Bibliography"/>
      </w:pPr>
      <w:r>
        <w:t xml:space="preserve">Pianet, R., Pallarés, P., and Petit, C. 2000. New sampling and data processing strategy for estimating the composition of catches by species and sizes in the</w:t>
      </w:r>
      <w:r>
        <w:t xml:space="preserve"> </w:t>
      </w:r>
      <w:r>
        <w:t xml:space="preserve">European</w:t>
      </w:r>
      <w:r>
        <w:t xml:space="preserve"> </w:t>
      </w:r>
      <w:r>
        <w:t xml:space="preserve">purse seine tropical tuna fisheries.</w:t>
      </w:r>
      <w:r>
        <w:t xml:space="preserve"> </w:t>
      </w:r>
      <w:r>
        <w:rPr>
          <w:iCs/>
          <w:i/>
        </w:rPr>
        <w:t xml:space="preserve">In</w:t>
      </w:r>
      <w:r>
        <w:t xml:space="preserve"> </w:t>
      </w:r>
      <w:r>
        <w:t xml:space="preserve">IOTC</w:t>
      </w:r>
      <w:r>
        <w:t xml:space="preserve"> </w:t>
      </w:r>
      <w:r>
        <w:t xml:space="preserve">Proceedings</w:t>
      </w:r>
      <w:r>
        <w:t xml:space="preserve">. pp. 104–139.</w:t>
      </w:r>
    </w:p>
    <w:bookmarkEnd w:id="28"/>
    <w:bookmarkStart w:id="29" w:name="ref-Ricker1975"/>
    <w:p>
      <w:pPr>
        <w:pStyle w:val="Bibliography"/>
      </w:pPr>
      <w:r>
        <w:t xml:space="preserve">Ricker, W.E. 1975. Computation and interpretation of biological statistics of fish populations. Bulletin of the Fisheries Research Board of Canada</w:t>
      </w:r>
      <w:r>
        <w:t xml:space="preserve"> </w:t>
      </w:r>
      <w:r>
        <w:rPr>
          <w:bCs/>
          <w:b/>
        </w:rPr>
        <w:t xml:space="preserve">191</w:t>
      </w:r>
      <w:r>
        <w:t xml:space="preserve">: 1–382.</w:t>
      </w:r>
    </w:p>
    <w:bookmarkEnd w:id="29"/>
    <w:bookmarkEnd w:id="30"/>
    <w:bookmarkEnd w:id="31"/>
    <w:sectPr w:rsidR="00CF5B18" w:rsidRPr="00CF5B18" w:rsidSect="002B78BE">
      <w:footerReference r:id="rId10" w:type="default"/>
      <w:footerReference r:id="rId9" w:type="first"/>
      <w:pgSz w:h="16838" w:w="11906"/>
      <w:pgMar w:bottom="1440" w:footer="567" w:gutter="0" w:header="283" w:left="1440" w:right="1440" w:top="1440"/>
      <w:lnNumType w:countBy="1" w:restart="continuous"/>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813249"/>
      <w:docPartObj>
        <w:docPartGallery w:val="Page Numbers (Bottom of Page)"/>
        <w:docPartUnique/>
      </w:docPartObj>
    </w:sdtPr>
    <w:sdtEndPr>
      <w:rPr>
        <w:noProof/>
      </w:rPr>
    </w:sdtEndPr>
    <w:sdtContent>
      <w:p w14:paraId="1EF2E30C" w14:textId="77777777" w:rsidR="007A2B9A" w:rsidRDefault="007A2B9A" w:rsidP="007A2B9A">
        <w:pPr>
          <w:pStyle w:val="Footer"/>
          <w:pBdr>
            <w:top w:val="single" w:sz="4" w:space="1" w:color="auto"/>
          </w:pBdr>
          <w:spacing w:before="240"/>
          <w:jc w:val="center"/>
        </w:pPr>
        <w:r>
          <w:t xml:space="preserve">Page </w:t>
        </w:r>
        <w:r w:rsidRPr="007A2B9A">
          <w:rPr>
            <w:b/>
            <w:bCs/>
          </w:rPr>
          <w:fldChar w:fldCharType="begin"/>
        </w:r>
        <w:r w:rsidRPr="007A2B9A">
          <w:rPr>
            <w:b/>
            <w:bCs/>
          </w:rPr>
          <w:instrText xml:space="preserve"> PAGE   \* MERGEFORMAT </w:instrText>
        </w:r>
        <w:r w:rsidRPr="007A2B9A">
          <w:rPr>
            <w:b/>
            <w:bCs/>
          </w:rPr>
          <w:fldChar w:fldCharType="separate"/>
        </w:r>
        <w:r w:rsidRPr="007A2B9A">
          <w:rPr>
            <w:b/>
            <w:bCs/>
            <w:noProof/>
          </w:rPr>
          <w:t>2</w:t>
        </w:r>
        <w:r w:rsidRPr="007A2B9A">
          <w:rPr>
            <w:b/>
            <w:bCs/>
            <w:noProof/>
          </w:rPr>
          <w:fldChar w:fldCharType="end"/>
        </w:r>
        <w:r w:rsidRPr="007A2B9A">
          <w:rPr>
            <w:b/>
            <w:bCs/>
            <w:noProof/>
          </w:rPr>
          <w:t xml:space="preserve"> </w:t>
        </w:r>
        <w:r>
          <w:rPr>
            <w:noProof/>
          </w:rPr>
          <w:t xml:space="preserve">of </w:t>
        </w:r>
        <w:r w:rsidRPr="007A2B9A">
          <w:rPr>
            <w:b/>
            <w:bCs/>
            <w:noProof/>
          </w:rPr>
          <w:fldChar w:fldCharType="begin"/>
        </w:r>
        <w:r w:rsidRPr="007A2B9A">
          <w:rPr>
            <w:b/>
            <w:bCs/>
            <w:noProof/>
          </w:rPr>
          <w:instrText xml:space="preserve"> NUMPAGES   \* MERGEFORMAT </w:instrText>
        </w:r>
        <w:r w:rsidRPr="007A2B9A">
          <w:rPr>
            <w:b/>
            <w:bCs/>
            <w:noProof/>
          </w:rPr>
          <w:fldChar w:fldCharType="separate"/>
        </w:r>
        <w:r w:rsidRPr="007A2B9A">
          <w:rPr>
            <w:b/>
            <w:bCs/>
            <w:noProof/>
          </w:rPr>
          <w:t>1</w:t>
        </w:r>
        <w:r w:rsidRPr="007A2B9A">
          <w:rPr>
            <w:b/>
            <w:bCs/>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4463997"/>
      <w:docPartObj>
        <w:docPartGallery w:val="Page Numbers (Bottom of Page)"/>
        <w:docPartUnique/>
      </w:docPartObj>
    </w:sdtPr>
    <w:sdtEndPr>
      <w:rPr>
        <w:noProof/>
      </w:rPr>
    </w:sdtEndPr>
    <w:sdtContent>
      <w:p w14:paraId="1913AF42" w14:textId="77777777" w:rsidR="00AB3CC8" w:rsidRDefault="00AB3CC8" w:rsidP="00AB3CC8">
        <w:pPr>
          <w:pStyle w:val="Footer"/>
          <w:pBdr>
            <w:top w:val="single" w:sz="4" w:space="1" w:color="auto"/>
          </w:pBdr>
          <w:spacing w:before="240"/>
          <w:jc w:val="center"/>
        </w:pPr>
        <w:r>
          <w:t xml:space="preserve">Page </w:t>
        </w:r>
        <w:r w:rsidRPr="007A2B9A">
          <w:rPr>
            <w:b/>
            <w:bCs/>
          </w:rPr>
          <w:fldChar w:fldCharType="begin"/>
        </w:r>
        <w:r w:rsidRPr="007A2B9A">
          <w:rPr>
            <w:b/>
            <w:bCs/>
          </w:rPr>
          <w:instrText xml:space="preserve"> PAGE   \* MERGEFORMAT </w:instrText>
        </w:r>
        <w:r w:rsidRPr="007A2B9A">
          <w:rPr>
            <w:b/>
            <w:bCs/>
          </w:rPr>
          <w:fldChar w:fldCharType="separate"/>
        </w:r>
        <w:r>
          <w:rPr>
            <w:b/>
            <w:bCs/>
          </w:rPr>
          <w:t>2</w:t>
        </w:r>
        <w:r w:rsidRPr="007A2B9A">
          <w:rPr>
            <w:b/>
            <w:bCs/>
            <w:noProof/>
          </w:rPr>
          <w:fldChar w:fldCharType="end"/>
        </w:r>
        <w:r w:rsidRPr="007A2B9A">
          <w:rPr>
            <w:b/>
            <w:bCs/>
            <w:noProof/>
          </w:rPr>
          <w:t xml:space="preserve"> </w:t>
        </w:r>
        <w:r>
          <w:rPr>
            <w:noProof/>
          </w:rPr>
          <w:t xml:space="preserve">of </w:t>
        </w:r>
        <w:r w:rsidRPr="007A2B9A">
          <w:rPr>
            <w:b/>
            <w:bCs/>
            <w:noProof/>
          </w:rPr>
          <w:fldChar w:fldCharType="begin"/>
        </w:r>
        <w:r w:rsidRPr="007A2B9A">
          <w:rPr>
            <w:b/>
            <w:bCs/>
            <w:noProof/>
          </w:rPr>
          <w:instrText xml:space="preserve"> NUMPAGES   \* MERGEFORMAT </w:instrText>
        </w:r>
        <w:r w:rsidRPr="007A2B9A">
          <w:rPr>
            <w:b/>
            <w:bCs/>
            <w:noProof/>
          </w:rPr>
          <w:fldChar w:fldCharType="separate"/>
        </w:r>
        <w:r>
          <w:rPr>
            <w:b/>
            <w:bCs/>
            <w:noProof/>
          </w:rPr>
          <w:t>2</w:t>
        </w:r>
        <w:r w:rsidRPr="007A2B9A">
          <w:rPr>
            <w:b/>
            <w:bCs/>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B66CDA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C30989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E56F48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2E83F6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D452D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D4E2F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A2EA3D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D2EBC5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8A4C4F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AECEBC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9930EE2"/>
    <w:multiLevelType w:val="hybridMultilevel"/>
    <w:tmpl w:val="F37C92F8"/>
    <w:lvl w:ilvl="0" w:tplc="C3B0D972">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semiHidden="1" w:uiPriority="2"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semiHidden="1" w:unhideWhenUsed="1"/>
    <w:lsdException w:name="annotation text" w:semiHidden="1" w:unhideWhenUsed="1"/>
    <w:lsdException w:name="header" w:semiHidden="1" w:unhideWhenUsed="1"/>
    <w:lsdException w:name="footer" w:qFormat="1"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uiPriority w:val="1"/>
    <w:qFormat/>
    <w:rsid w:val="00804F04"/>
    <w:pPr>
      <w:spacing w:after="280" w:before="120" w:line="480" w:lineRule="auto"/>
      <w:jc w:val="both"/>
    </w:pPr>
    <w:rPr>
      <w:rFonts w:ascii="Calibri" w:hAnsi="Calibri"/>
    </w:rPr>
  </w:style>
  <w:style w:styleId="Heading1" w:type="paragraph">
    <w:name w:val="heading 1"/>
    <w:basedOn w:val="Normal"/>
    <w:next w:val="Normal"/>
    <w:link w:val="Heading1Char"/>
    <w:uiPriority w:val="2"/>
    <w:qFormat/>
    <w:rsid w:val="007A2B9A"/>
    <w:pPr>
      <w:keepNext/>
      <w:keepLines/>
      <w:spacing w:after="0" w:before="240"/>
      <w:outlineLvl w:val="0"/>
    </w:pPr>
    <w:rPr>
      <w:rFonts w:cstheme="majorBidi" w:eastAsiaTheme="majorEastAsia"/>
      <w:b/>
      <w:sz w:val="32"/>
      <w:szCs w:val="32"/>
    </w:rPr>
  </w:style>
  <w:style w:styleId="Heading2" w:type="paragraph">
    <w:name w:val="heading 2"/>
    <w:basedOn w:val="Normal"/>
    <w:next w:val="Normal"/>
    <w:link w:val="Heading2Char"/>
    <w:uiPriority w:val="2"/>
    <w:qFormat/>
    <w:rsid w:val="00AB3CC8"/>
    <w:pPr>
      <w:keepNext/>
      <w:keepLines/>
      <w:spacing w:after="60"/>
      <w:outlineLvl w:val="1"/>
    </w:pPr>
    <w:rPr>
      <w:rFonts w:cstheme="majorBidi" w:eastAsiaTheme="majorEastAsia"/>
      <w:b/>
      <w:sz w:val="28"/>
      <w:szCs w:val="26"/>
    </w:rPr>
  </w:style>
  <w:style w:styleId="Heading3" w:type="paragraph">
    <w:name w:val="heading 3"/>
    <w:basedOn w:val="Normal"/>
    <w:next w:val="Normal"/>
    <w:link w:val="Heading3Char"/>
    <w:uiPriority w:val="2"/>
    <w:qFormat/>
    <w:rsid w:val="007A2B9A"/>
    <w:pPr>
      <w:keepNext/>
      <w:keepLines/>
      <w:spacing w:after="0" w:before="40"/>
      <w:outlineLvl w:val="2"/>
    </w:pPr>
    <w:rPr>
      <w:rFonts w:cstheme="majorBidi" w:eastAsiaTheme="majorEastAsia"/>
      <w:b/>
      <w:sz w:val="24"/>
      <w:szCs w:val="24"/>
    </w:rPr>
  </w:style>
  <w:style w:styleId="Heading4" w:type="paragraph">
    <w:name w:val="heading 4"/>
    <w:basedOn w:val="Normal"/>
    <w:next w:val="Normal"/>
    <w:link w:val="Heading4Char"/>
    <w:uiPriority w:val="2"/>
    <w:qFormat/>
    <w:rsid w:val="0005261B"/>
    <w:pPr>
      <w:keepNext/>
      <w:keepLines/>
      <w:spacing w:after="0" w:before="40"/>
      <w:outlineLvl w:val="3"/>
    </w:pPr>
    <w:rPr>
      <w:rFonts w:asciiTheme="majorHAnsi" w:cstheme="majorBidi" w:eastAsiaTheme="majorEastAsia" w:hAnsiTheme="majorHAnsi"/>
      <w:b/>
      <w:bCs/>
      <w:iCs/>
      <w:sz w:val="24"/>
    </w:rPr>
  </w:style>
  <w:style w:styleId="Heading5" w:type="paragraph">
    <w:name w:val="heading 5"/>
    <w:basedOn w:val="Normal"/>
    <w:next w:val="Normal"/>
    <w:link w:val="Heading5Char"/>
    <w:uiPriority w:val="2"/>
    <w:unhideWhenUsed/>
    <w:qFormat/>
    <w:rsid w:val="0005261B"/>
    <w:pPr>
      <w:keepNext/>
      <w:keepLines/>
      <w:spacing w:after="0" w:before="40"/>
      <w:outlineLvl w:val="4"/>
    </w:pPr>
    <w:rPr>
      <w:rFonts w:asciiTheme="majorHAnsi" w:cstheme="majorBidi" w:eastAsiaTheme="majorEastAsia" w:hAnsiTheme="majorHAnsi"/>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7A2B9A"/>
    <w:pPr>
      <w:tabs>
        <w:tab w:pos="4513" w:val="center"/>
        <w:tab w:pos="9026" w:val="right"/>
      </w:tabs>
      <w:spacing w:after="0" w:line="240" w:lineRule="auto"/>
    </w:pPr>
  </w:style>
  <w:style w:customStyle="1" w:styleId="HeaderChar" w:type="character">
    <w:name w:val="Header Char"/>
    <w:basedOn w:val="DefaultParagraphFont"/>
    <w:link w:val="Header"/>
    <w:uiPriority w:val="99"/>
    <w:rsid w:val="007A2B9A"/>
  </w:style>
  <w:style w:styleId="Footer" w:type="paragraph">
    <w:name w:val="footer"/>
    <w:basedOn w:val="Normal"/>
    <w:link w:val="FooterChar"/>
    <w:uiPriority w:val="99"/>
    <w:unhideWhenUsed/>
    <w:qFormat/>
    <w:rsid w:val="007A2B9A"/>
    <w:pPr>
      <w:tabs>
        <w:tab w:pos="4513" w:val="center"/>
        <w:tab w:pos="9026" w:val="right"/>
      </w:tabs>
      <w:spacing w:after="0" w:line="240" w:lineRule="auto"/>
    </w:pPr>
  </w:style>
  <w:style w:customStyle="1" w:styleId="FooterChar" w:type="character">
    <w:name w:val="Footer Char"/>
    <w:basedOn w:val="DefaultParagraphFont"/>
    <w:link w:val="Footer"/>
    <w:uiPriority w:val="99"/>
    <w:rsid w:val="007A2B9A"/>
  </w:style>
  <w:style w:styleId="NoSpacing" w:type="paragraph">
    <w:name w:val="No Spacing"/>
    <w:uiPriority w:val="1"/>
    <w:unhideWhenUsed/>
    <w:qFormat/>
    <w:rsid w:val="007A2B9A"/>
    <w:pPr>
      <w:spacing w:after="0" w:line="240" w:lineRule="auto"/>
      <w:jc w:val="both"/>
    </w:pPr>
  </w:style>
  <w:style w:customStyle="1" w:styleId="Heading1Char" w:type="character">
    <w:name w:val="Heading 1 Char"/>
    <w:basedOn w:val="DefaultParagraphFont"/>
    <w:link w:val="Heading1"/>
    <w:uiPriority w:val="2"/>
    <w:rsid w:val="00064D53"/>
    <w:rPr>
      <w:rFonts w:ascii="Calibri" w:cstheme="majorBidi" w:eastAsiaTheme="majorEastAsia" w:hAnsi="Calibri"/>
      <w:b/>
      <w:sz w:val="32"/>
      <w:szCs w:val="32"/>
    </w:rPr>
  </w:style>
  <w:style w:customStyle="1" w:styleId="Heading2Char" w:type="character">
    <w:name w:val="Heading 2 Char"/>
    <w:basedOn w:val="DefaultParagraphFont"/>
    <w:link w:val="Heading2"/>
    <w:uiPriority w:val="2"/>
    <w:rsid w:val="00064D53"/>
    <w:rPr>
      <w:rFonts w:ascii="Calibri" w:cstheme="majorBidi" w:eastAsiaTheme="majorEastAsia" w:hAnsi="Calibri"/>
      <w:b/>
      <w:sz w:val="28"/>
      <w:szCs w:val="26"/>
    </w:rPr>
  </w:style>
  <w:style w:customStyle="1" w:styleId="Heading3Char" w:type="character">
    <w:name w:val="Heading 3 Char"/>
    <w:basedOn w:val="DefaultParagraphFont"/>
    <w:link w:val="Heading3"/>
    <w:uiPriority w:val="2"/>
    <w:rsid w:val="00064D53"/>
    <w:rPr>
      <w:rFonts w:ascii="Calibri" w:cstheme="majorBidi" w:eastAsiaTheme="majorEastAsia" w:hAnsi="Calibri"/>
      <w:b/>
      <w:sz w:val="24"/>
      <w:szCs w:val="24"/>
    </w:rPr>
  </w:style>
  <w:style w:customStyle="1" w:styleId="Heading4Char" w:type="character">
    <w:name w:val="Heading 4 Char"/>
    <w:basedOn w:val="DefaultParagraphFont"/>
    <w:link w:val="Heading4"/>
    <w:uiPriority w:val="2"/>
    <w:rsid w:val="0005261B"/>
    <w:rPr>
      <w:rFonts w:asciiTheme="majorHAnsi" w:cstheme="majorBidi" w:eastAsiaTheme="majorEastAsia" w:hAnsiTheme="majorHAnsi"/>
      <w:b/>
      <w:bCs/>
      <w:iCs/>
      <w:sz w:val="24"/>
    </w:rPr>
  </w:style>
  <w:style w:styleId="Title" w:type="paragraph">
    <w:name w:val="Title"/>
    <w:basedOn w:val="Normal"/>
    <w:next w:val="Normal"/>
    <w:link w:val="TitleChar"/>
    <w:qFormat/>
    <w:rsid w:val="00A842FC"/>
    <w:pPr>
      <w:spacing w:after="240" w:before="240" w:line="240" w:lineRule="auto"/>
      <w:jc w:val="center"/>
    </w:pPr>
    <w:rPr>
      <w:rFonts w:cstheme="majorBidi" w:eastAsiaTheme="majorEastAsia"/>
      <w:b/>
      <w:spacing w:val="-10"/>
      <w:kern w:val="28"/>
      <w:sz w:val="36"/>
      <w:szCs w:val="56"/>
    </w:rPr>
  </w:style>
  <w:style w:customStyle="1" w:styleId="TitleChar" w:type="character">
    <w:name w:val="Title Char"/>
    <w:basedOn w:val="DefaultParagraphFont"/>
    <w:link w:val="Title"/>
    <w:rsid w:val="00A842FC"/>
    <w:rPr>
      <w:rFonts w:ascii="Calibri" w:cstheme="majorBidi" w:eastAsiaTheme="majorEastAsia" w:hAnsi="Calibri"/>
      <w:b/>
      <w:spacing w:val="-10"/>
      <w:kern w:val="28"/>
      <w:sz w:val="36"/>
      <w:szCs w:val="56"/>
    </w:rPr>
  </w:style>
  <w:style w:styleId="BalloonText" w:type="paragraph">
    <w:name w:val="Balloon Text"/>
    <w:basedOn w:val="Normal"/>
    <w:link w:val="BalloonTextChar"/>
    <w:uiPriority w:val="99"/>
    <w:semiHidden/>
    <w:unhideWhenUsed/>
    <w:rsid w:val="007A2B9A"/>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7A2B9A"/>
    <w:rPr>
      <w:rFonts w:ascii="Segoe UI" w:cs="Segoe UI" w:hAnsi="Segoe UI"/>
      <w:sz w:val="18"/>
      <w:szCs w:val="18"/>
    </w:rPr>
  </w:style>
  <w:style w:styleId="Caption" w:type="paragraph">
    <w:name w:val="caption"/>
    <w:basedOn w:val="Normal"/>
    <w:next w:val="Normal"/>
    <w:link w:val="CaptionChar"/>
    <w:uiPriority w:val="35"/>
    <w:unhideWhenUsed/>
    <w:qFormat/>
    <w:rsid w:val="00C662B6"/>
    <w:pPr>
      <w:spacing w:after="200" w:line="240" w:lineRule="auto"/>
    </w:pPr>
    <w:rPr>
      <w:i/>
      <w:iCs/>
      <w:sz w:val="18"/>
      <w:szCs w:val="18"/>
    </w:rPr>
  </w:style>
  <w:style w:customStyle="1" w:styleId="Documentreference" w:type="paragraph">
    <w:name w:val="Document reference"/>
    <w:basedOn w:val="Normal"/>
    <w:link w:val="DocumentreferenceChar"/>
    <w:uiPriority w:val="1"/>
    <w:qFormat/>
    <w:rsid w:val="007A2B9A"/>
    <w:pPr>
      <w:pBdr>
        <w:bottom w:color="auto" w:space="1" w:sz="4" w:val="single"/>
      </w:pBdr>
      <w:jc w:val="right"/>
    </w:pPr>
    <w:rPr>
      <w:noProof/>
      <w:sz w:val="28"/>
      <w:szCs w:val="28"/>
      <w:lang w:eastAsia="en-GB"/>
    </w:rPr>
  </w:style>
  <w:style w:customStyle="1" w:styleId="Authorandrevision" w:type="paragraph">
    <w:name w:val="Author and revision"/>
    <w:basedOn w:val="Normal"/>
    <w:link w:val="AuthorandrevisionChar"/>
    <w:uiPriority w:val="1"/>
    <w:qFormat/>
    <w:rsid w:val="007A2B9A"/>
    <w:pPr>
      <w:pBdr>
        <w:bottom w:color="auto" w:space="1" w:sz="4" w:val="single"/>
      </w:pBdr>
      <w:jc w:val="right"/>
    </w:pPr>
    <w:rPr>
      <w:b/>
      <w:bCs/>
      <w:smallCaps/>
    </w:rPr>
  </w:style>
  <w:style w:customStyle="1" w:styleId="DocumentreferenceChar" w:type="character">
    <w:name w:val="Document reference Char"/>
    <w:basedOn w:val="DefaultParagraphFont"/>
    <w:link w:val="Documentreference"/>
    <w:uiPriority w:val="1"/>
    <w:rsid w:val="00064D53"/>
    <w:rPr>
      <w:noProof/>
      <w:sz w:val="28"/>
      <w:szCs w:val="28"/>
      <w:lang w:eastAsia="en-GB"/>
    </w:rPr>
  </w:style>
  <w:style w:styleId="ListParagraph" w:type="paragraph">
    <w:name w:val="List Paragraph"/>
    <w:basedOn w:val="Normal"/>
    <w:uiPriority w:val="34"/>
    <w:qFormat/>
    <w:rsid w:val="007A2B9A"/>
    <w:pPr>
      <w:ind w:left="720"/>
      <w:contextualSpacing/>
    </w:pPr>
  </w:style>
  <w:style w:customStyle="1" w:styleId="AuthorandrevisionChar" w:type="character">
    <w:name w:val="Author and revision Char"/>
    <w:basedOn w:val="DefaultParagraphFont"/>
    <w:link w:val="Authorandrevision"/>
    <w:uiPriority w:val="1"/>
    <w:rsid w:val="00064D53"/>
    <w:rPr>
      <w:b/>
      <w:bCs/>
      <w:smallCaps/>
    </w:rPr>
  </w:style>
  <w:style w:styleId="FootnoteText" w:type="paragraph">
    <w:name w:val="footnote text"/>
    <w:basedOn w:val="Normal"/>
    <w:link w:val="FootnoteTextChar"/>
    <w:uiPriority w:val="99"/>
    <w:semiHidden/>
    <w:unhideWhenUsed/>
    <w:qFormat/>
    <w:rsid w:val="007A2B9A"/>
    <w:pPr>
      <w:spacing w:after="0" w:line="240" w:lineRule="auto"/>
    </w:pPr>
    <w:rPr>
      <w:sz w:val="20"/>
      <w:szCs w:val="20"/>
    </w:rPr>
  </w:style>
  <w:style w:customStyle="1" w:styleId="FootnoteTextChar" w:type="character">
    <w:name w:val="Footnote Text Char"/>
    <w:basedOn w:val="DefaultParagraphFont"/>
    <w:link w:val="FootnoteText"/>
    <w:uiPriority w:val="99"/>
    <w:semiHidden/>
    <w:rsid w:val="007A2B9A"/>
    <w:rPr>
      <w:sz w:val="20"/>
      <w:szCs w:val="20"/>
    </w:rPr>
  </w:style>
  <w:style w:styleId="FootnoteReference" w:type="character">
    <w:name w:val="footnote reference"/>
    <w:basedOn w:val="DefaultParagraphFont"/>
    <w:uiPriority w:val="99"/>
    <w:semiHidden/>
    <w:unhideWhenUsed/>
    <w:rsid w:val="007A2B9A"/>
    <w:rPr>
      <w:vertAlign w:val="superscript"/>
    </w:rPr>
  </w:style>
  <w:style w:styleId="Hyperlink" w:type="character">
    <w:name w:val="Hyperlink"/>
    <w:basedOn w:val="DefaultParagraphFont"/>
    <w:uiPriority w:val="99"/>
    <w:unhideWhenUsed/>
    <w:rsid w:val="00DF645A"/>
    <w:rPr>
      <w:color w:themeColor="hyperlink" w:val="0563C1"/>
      <w:u w:val="single"/>
    </w:rPr>
  </w:style>
  <w:style w:customStyle="1" w:styleId="Heading5Char" w:type="character">
    <w:name w:val="Heading 5 Char"/>
    <w:basedOn w:val="DefaultParagraphFont"/>
    <w:link w:val="Heading5"/>
    <w:uiPriority w:val="2"/>
    <w:rsid w:val="0005261B"/>
    <w:rPr>
      <w:rFonts w:asciiTheme="majorHAnsi" w:cstheme="majorBidi" w:eastAsiaTheme="majorEastAsia" w:hAnsiTheme="majorHAnsi"/>
    </w:rPr>
  </w:style>
  <w:style w:customStyle="1" w:styleId="Figure" w:type="character">
    <w:name w:val="Figure"/>
    <w:basedOn w:val="DefaultParagraphFont"/>
    <w:uiPriority w:val="5"/>
    <w:qFormat/>
    <w:rsid w:val="00CF5B18"/>
  </w:style>
  <w:style w:styleId="UnresolvedMention" w:type="character">
    <w:name w:val="Unresolved Mention"/>
    <w:basedOn w:val="DefaultParagraphFont"/>
    <w:uiPriority w:val="99"/>
    <w:semiHidden/>
    <w:unhideWhenUsed/>
    <w:rsid w:val="00DF645A"/>
    <w:rPr>
      <w:color w:val="605E5C"/>
      <w:shd w:color="auto" w:fill="E1DFDD" w:val="clear"/>
    </w:rPr>
  </w:style>
  <w:style w:customStyle="1" w:styleId="Captionlabel" w:type="character">
    <w:name w:val="Caption label"/>
    <w:basedOn w:val="DefaultParagraphFont"/>
    <w:uiPriority w:val="3"/>
    <w:qFormat/>
    <w:rsid w:val="005A5644"/>
    <w:rPr>
      <w:b/>
    </w:rPr>
  </w:style>
  <w:style w:customStyle="1" w:styleId="CaptionChar" w:type="character">
    <w:name w:val="Caption Char"/>
    <w:basedOn w:val="DefaultParagraphFont"/>
    <w:link w:val="Caption"/>
    <w:uiPriority w:val="35"/>
    <w:rsid w:val="00C662B6"/>
    <w:rPr>
      <w:rFonts w:ascii="Calibri" w:hAnsi="Calibri"/>
      <w:i/>
      <w:iCs/>
      <w:sz w:val="18"/>
      <w:szCs w:val="18"/>
    </w:rPr>
  </w:style>
  <w:style w:customStyle="1" w:styleId="Captiontext" w:type="character">
    <w:name w:val="Caption text"/>
    <w:basedOn w:val="DefaultParagraphFont"/>
    <w:uiPriority w:val="3"/>
    <w:qFormat/>
    <w:rsid w:val="00321DAE"/>
    <w:rPr>
      <w:bCs/>
    </w:rPr>
  </w:style>
  <w:style w:styleId="TableGrid" w:type="table">
    <w:name w:val="Table Grid"/>
    <w:basedOn w:val="TableNormal"/>
    <w:uiPriority w:val="39"/>
    <w:rsid w:val="00321D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caption" w:type="paragraph">
    <w:name w:val="Table caption"/>
    <w:basedOn w:val="Normal"/>
    <w:link w:val="TablecaptionChar"/>
    <w:uiPriority w:val="4"/>
    <w:qFormat/>
    <w:rsid w:val="00A11D02"/>
    <w:pPr>
      <w:spacing w:after="0" w:before="200"/>
    </w:pPr>
    <w:rPr>
      <w:sz w:val="18"/>
    </w:rPr>
  </w:style>
  <w:style w:styleId="TableofFigures" w:type="paragraph">
    <w:name w:val="table of figures"/>
    <w:basedOn w:val="Normal"/>
    <w:next w:val="Normal"/>
    <w:uiPriority w:val="99"/>
    <w:unhideWhenUsed/>
    <w:rsid w:val="00905817"/>
    <w:pPr>
      <w:spacing w:after="0"/>
    </w:pPr>
  </w:style>
  <w:style w:customStyle="1" w:styleId="TablecaptionChar" w:type="character">
    <w:name w:val="Table caption Char"/>
    <w:basedOn w:val="DefaultParagraphFont"/>
    <w:link w:val="Tablecaption"/>
    <w:uiPriority w:val="4"/>
    <w:rsid w:val="00A11D02"/>
    <w:rPr>
      <w:rFonts w:ascii="Calibri" w:hAnsi="Calibri"/>
      <w:sz w:val="18"/>
    </w:rPr>
  </w:style>
  <w:style w:styleId="TOCHeading" w:type="paragraph">
    <w:name w:val="TOC Heading"/>
    <w:basedOn w:val="Heading1"/>
    <w:next w:val="Normal"/>
    <w:autoRedefine/>
    <w:uiPriority w:val="39"/>
    <w:unhideWhenUsed/>
    <w:qFormat/>
    <w:rsid w:val="00294CDC"/>
    <w:pPr>
      <w:jc w:val="left"/>
      <w:outlineLvl w:val="9"/>
    </w:pPr>
    <w:rPr>
      <w:lang w:val="en-US"/>
    </w:rPr>
  </w:style>
  <w:style w:styleId="TOC1" w:type="paragraph">
    <w:name w:val="toc 1"/>
    <w:basedOn w:val="Normal"/>
    <w:next w:val="Normal"/>
    <w:autoRedefine/>
    <w:uiPriority w:val="39"/>
    <w:unhideWhenUsed/>
    <w:rsid w:val="00905817"/>
    <w:pPr>
      <w:spacing w:after="100"/>
    </w:pPr>
  </w:style>
  <w:style w:styleId="TOC2" w:type="paragraph">
    <w:name w:val="toc 2"/>
    <w:basedOn w:val="Normal"/>
    <w:next w:val="Normal"/>
    <w:autoRedefine/>
    <w:uiPriority w:val="39"/>
    <w:unhideWhenUsed/>
    <w:rsid w:val="00905817"/>
    <w:pPr>
      <w:spacing w:after="100"/>
      <w:ind w:left="220"/>
    </w:pPr>
  </w:style>
  <w:style w:styleId="TOC3" w:type="paragraph">
    <w:name w:val="toc 3"/>
    <w:basedOn w:val="Normal"/>
    <w:next w:val="Normal"/>
    <w:autoRedefine/>
    <w:uiPriority w:val="39"/>
    <w:unhideWhenUsed/>
    <w:rsid w:val="00905817"/>
    <w:pPr>
      <w:spacing w:after="100"/>
      <w:ind w:left="440"/>
    </w:pPr>
  </w:style>
  <w:style w:customStyle="1" w:styleId="ImageCaption" w:type="paragraph">
    <w:name w:val="Image Caption"/>
    <w:basedOn w:val="Caption"/>
    <w:uiPriority w:val="1"/>
    <w:qFormat/>
    <w:rsid w:val="004F5B01"/>
    <w:rPr>
      <w:i w:val="0"/>
    </w:rPr>
  </w:style>
  <w:style w:customStyle="1" w:styleId="TableCaption0" w:type="paragraph">
    <w:name w:val="Table Caption"/>
    <w:basedOn w:val="Caption"/>
    <w:uiPriority w:val="1"/>
    <w:qFormat/>
    <w:rsid w:val="004F5B01"/>
    <w:rPr>
      <w:i w:val="0"/>
    </w:rPr>
  </w:style>
  <w:style w:styleId="LineNumber" w:type="character">
    <w:name w:val="line number"/>
    <w:basedOn w:val="DefaultParagraphFont"/>
    <w:uiPriority w:val="99"/>
    <w:semiHidden/>
    <w:unhideWhenUsed/>
    <w:rsid w:val="00804F0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3" Target="http://dx.doi.org/10.1111/j.1095-8649.1989.tb03300.x" TargetMode="External" /><Relationship Type="http://schemas.openxmlformats.org/officeDocument/2006/relationships/hyperlink" Id="rId25" Target="https://doi.org/10.1016/j.fishres.2007.01.004" TargetMode="External" /><Relationship Type="http://schemas.openxmlformats.org/officeDocument/2006/relationships/hyperlink" Id="rId20" Target="mailto:Julien.Lebranchu@ird.fr" TargetMode="External" /></Relationships>
</file>

<file path=word/_rels/footnotes.xml.rels><?xml version="1.0" encoding="UTF-8"?><Relationships xmlns="http://schemas.openxmlformats.org/package/2006/relationships"><Relationship Type="http://schemas.openxmlformats.org/officeDocument/2006/relationships/hyperlink" Id="rId23" Target="http://dx.doi.org/10.1111/j.1095-8649.1989.tb03300.x" TargetMode="External" /><Relationship Type="http://schemas.openxmlformats.org/officeDocument/2006/relationships/hyperlink" Id="rId25" Target="https://doi.org/10.1016/j.fishres.2007.01.004" TargetMode="External" /><Relationship Type="http://schemas.openxmlformats.org/officeDocument/2006/relationships/hyperlink" Id="rId20" Target="mailto:Julien.Lebranchu@ird.fr"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chassot\OneDrive%20-%20Food%20and%20Agriculture%20Organization\IOTC\science\meetings\2021\WPEB\DataPaper\codes\IOTC_W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IOTC_WP_template.dotx</Template>
  <TotalTime>70</TotalTime>
  <Pages>5</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Morphometrics and allometry in tuna from the tropical Atlantic and Indian Oceans</dc:title>
  <dc:creator>Chassot Emmanuel1,2, Nathalie Bodin1,2,4, Constance Diaha3, Cindy Assan4, Aurélie Guillou1, Julien Lebranchu1,^\dagger</dc:creator>
  <cp:keywords/>
  <dcterms:created xsi:type="dcterms:W3CDTF">2022-01-05T13:48:25Z</dcterms:created>
  <dcterms:modified xsi:type="dcterms:W3CDTF">2022-01-05T13:48:25Z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TunaMorpho.bib</vt:lpwstr>
  </property>
  <property fmtid="{D5CDD505-2E9C-101B-9397-08002B2CF9AE}" pid="3" name="csl">
    <vt:lpwstr>cjfas.csl</vt:lpwstr>
  </property>
  <property fmtid="{D5CDD505-2E9C-101B-9397-08002B2CF9AE}" pid="4" name="date">
    <vt:lpwstr>05 January 2022</vt:lpwstr>
  </property>
  <property fmtid="{D5CDD505-2E9C-101B-9397-08002B2CF9AE}" pid="5" name="link-citations">
    <vt:lpwstr>yes</vt:lpwstr>
  </property>
  <property fmtid="{D5CDD505-2E9C-101B-9397-08002B2CF9AE}" pid="6" name="output">
    <vt:lpwstr/>
  </property>
</Properties>
</file>