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10"/>
        <w:tblBorders>
          <w:top w:val="none" w:color="FFFFFF" w:sz="0"/>
          <w:left w:val="none" w:color="FFFFFF" w:sz="0"/>
          <w:bottom w:val="none" w:color="FFFFFF" w:sz="0"/>
          <w:right w:val="none" w:color="FFFFFF" w:sz="0"/>
          <w:insideH w:val="none" w:color="FFFFFF" w:sz="0"/>
          <w:insideV w:val="none" w:color="FFFFFF" w:sz="0"/>
        </w:tblBorders>
      </w:tblPr>
      <w:tblGrid>
        <w:gridCol w:w="10710"/>
      </w:tblGrid>
      <w:tr>
        <w:tc>
          <w:tcPr>
            <w:tcW w:type="dxa" w:w="10710"/>
            <w:shd w:fill="222B35" w:color="auto" w:val="clear"/>
            <w:tcMar>
              <w:top w:type="dxa" w:w="80"/>
              <w:left w:type="dxa" w:w="120"/>
              <w:bottom w:type="dxa" w:w="80"/>
              <w:right w:type="dxa" w:w="120"/>
            </w:tcMar>
            <w:vAlign w:val="center"/>
          </w:tcPr>
          <w:p>
            <w:pPr>
              <w:spacing w:after="120" w:before="120"/>
              <w:jc w:val="center"/>
            </w:pPr>
            <w:r>
              <w:rPr>
                <w:rFonts w:ascii="Century Gothic" w:cs="Century Gothic" w:eastAsia="Century Gothic" w:hAnsi="Century Gothic"/>
                <w:b/>
                <w:bCs/>
                <w:i w:val="false"/>
                <w:iCs w:val="false"/>
                <w:color w:val="FFFFFF"/>
                <w:sz w:val="44"/>
                <w:szCs w:val="44"/>
              </w:rPr>
              <w:t xml:space="preserve">STATEMENT OF WORK</w:t>
            </w:r>
          </w:p>
        </w:tc>
      </w:tr>
    </w:tbl>
    <w:p>
      <w:pPr>
        <w:spacing w:after="240" w:before="100"/>
        <w:jc w:val="center"/>
      </w:pPr>
      <w:r>
        <w:rPr>
          <w:rFonts w:ascii="Century Gothic" w:cs="Century Gothic" w:eastAsia="Century Gothic" w:hAnsi="Century Gothic"/>
          <w:b w:val="false"/>
          <w:bCs w:val="false"/>
          <w:i/>
          <w:iCs/>
          <w:color w:val="595959"/>
          <w:sz w:val="20"/>
          <w:szCs w:val="20"/>
        </w:rPr>
        <w:t xml:space="preserve">Accompanying the Software Development and License Agreement between Agentic Consulting and the Massachusetts Institute of Technology</w:t>
      </w:r>
    </w:p>
    <w:tbl>
      <w:tblPr>
        <w:tblW w:type="dxa" w:w="1071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7310"/>
      </w:tblGrid>
      <w:tr>
        <w:tc>
          <w:tcPr>
            <w:tcW w:type="dxa" w:w="34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PROJECT NAME</w:t>
            </w:r>
          </w:p>
        </w:tc>
        <w:tc>
          <w:tcPr>
            <w:tcW w:type="dxa" w:w="7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Agentic Evaluation Harness for Education — Platform development, validation, and deployment</w:t>
            </w:r>
          </w:p>
        </w:tc>
      </w:tr>
      <w:tr>
        <w:tc>
          <w:tcPr>
            <w:tcW w:type="dxa" w:w="34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COMPANY NAME</w:t>
            </w:r>
          </w:p>
        </w:tc>
        <w:tc>
          <w:tcPr>
            <w:tcW w:type="dxa" w:w="7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Agentic Consulting</w:t>
            </w:r>
          </w:p>
        </w:tc>
      </w:tr>
      <w:tr>
        <w:tc>
          <w:tcPr>
            <w:tcW w:type="dxa" w:w="34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POINT OF CONTACT</w:t>
            </w:r>
          </w:p>
        </w:tc>
        <w:tc>
          <w:tcPr>
            <w:tcW w:type="dxa" w:w="7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Emmanuel (Manu) Cohen-Yashar, Principal</w:t>
            </w:r>
          </w:p>
        </w:tc>
      </w:tr>
      <w:tr>
        <w:tc>
          <w:tcPr>
            <w:tcW w:type="dxa" w:w="34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PHONE</w:t>
            </w:r>
          </w:p>
        </w:tc>
        <w:tc>
          <w:tcPr>
            <w:tcW w:type="dxa" w:w="7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978-289-3943</w:t>
            </w:r>
          </w:p>
        </w:tc>
      </w:tr>
      <w:tr>
        <w:tc>
          <w:tcPr>
            <w:tcW w:type="dxa" w:w="34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EMAIL</w:t>
            </w:r>
          </w:p>
        </w:tc>
        <w:tc>
          <w:tcPr>
            <w:tcW w:type="dxa" w:w="7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manu.cohenyashar@gmail.com</w:t>
            </w:r>
          </w:p>
        </w:tc>
      </w:tr>
      <w:tr>
        <w:tc>
          <w:tcPr>
            <w:tcW w:type="dxa" w:w="34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COMPANY MAILING ADDRESS</w:t>
            </w:r>
          </w:p>
        </w:tc>
        <w:tc>
          <w:tcPr>
            <w:tcW w:type="dxa" w:w="7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3 Jefferson Lane, Andover, MA 01810</w:t>
            </w:r>
          </w:p>
        </w:tc>
      </w:tr>
      <w:tr>
        <w:tc>
          <w:tcPr>
            <w:tcW w:type="dxa" w:w="34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CLIENT</w:t>
            </w:r>
          </w:p>
        </w:tc>
        <w:tc>
          <w:tcPr>
            <w:tcW w:type="dxa" w:w="7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Massachusetts Institute of Technology — Center for International Studies</w:t>
            </w:r>
          </w:p>
        </w:tc>
      </w:tr>
      <w:tr>
        <w:tc>
          <w:tcPr>
            <w:tcW w:type="dxa" w:w="34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PROJECT LOCATION</w:t>
            </w:r>
          </w:p>
        </w:tc>
        <w:tc>
          <w:tcPr>
            <w:tcW w:type="dxa" w:w="7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Consultant's premises, Andover, MA · MIT, Cambridge, MA · Participating School site(s) as arranged by MIT</w:t>
            </w:r>
          </w:p>
        </w:tc>
      </w:tr>
      <w:tr>
        <w:tc>
          <w:tcPr>
            <w:tcW w:type="dxa" w:w="34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AUTHOR</w:t>
            </w:r>
          </w:p>
        </w:tc>
        <w:tc>
          <w:tcPr>
            <w:tcW w:type="dxa" w:w="7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Emmanuel (Manu) Cohen-Yashar, Agentic Consulting</w:t>
            </w:r>
          </w:p>
        </w:tc>
      </w:tr>
      <w:tr>
        <w:tc>
          <w:tcPr>
            <w:tcW w:type="dxa" w:w="34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DATE</w:t>
            </w:r>
          </w:p>
        </w:tc>
        <w:tc>
          <w:tcPr>
            <w:tcW w:type="dxa" w:w="7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19 August 2026</w:t>
            </w:r>
          </w:p>
        </w:tc>
      </w:tr>
    </w:tbl>
    <w:p>
      <w:pPr>
        <w:spacing w:after="80" w:before="320"/>
      </w:pPr>
      <w:r>
        <w:rPr>
          <w:rFonts w:ascii="Century Gothic" w:cs="Century Gothic" w:eastAsia="Century Gothic" w:hAnsi="Century Gothic"/>
          <w:b/>
          <w:bCs/>
          <w:i w:val="false"/>
          <w:iCs w:val="false"/>
          <w:color w:val="595959"/>
          <w:sz w:val="28"/>
          <w:szCs w:val="28"/>
        </w:rPr>
        <w:t xml:space="preserve">SCOPE OF WORK</w:t>
      </w:r>
    </w:p>
    <w:tbl>
      <w:tblPr>
        <w:tblW w:type="dxa" w:w="10710"/>
        <w:tblBorders>
          <w:top w:val="single" w:color="BFBFBF" w:sz="4"/>
          <w:left w:val="single" w:color="BFBFBF" w:sz="4"/>
          <w:bottom w:val="single" w:color="BFBFBF" w:sz="4"/>
          <w:right w:val="single" w:color="BFBFBF" w:sz="4"/>
          <w:insideH w:val="single" w:color="BFBFBF" w:sz="4"/>
          <w:insideV w:val="single" w:color="BFBFBF" w:sz="4"/>
        </w:tblBorders>
      </w:tblPr>
      <w:tblGrid>
        <w:gridCol w:w="10710"/>
      </w:tblGrid>
      <w:tr>
        <w:trPr>
          <w:tblHeader/>
        </w:trPr>
        <w:tc>
          <w:tcPr>
            <w:tcW w:type="dxa" w:w="10710"/>
            <w:shd w:fill="222B35" w:color="auto" w:val="clear"/>
            <w:tcMar>
              <w:top w:type="dxa" w:w="80"/>
              <w:left w:type="dxa" w:w="120"/>
              <w:bottom w:type="dxa" w:w="80"/>
              <w:right w:type="dxa" w:w="120"/>
            </w:tcMar>
            <w:vAlign w:val="center"/>
          </w:tcPr>
          <w:p>
            <w:pPr>
              <w:spacing w:after="20" w:before="20"/>
              <w:jc w:val="center"/>
            </w:pPr>
            <w:r>
              <w:rPr>
                <w:rFonts w:ascii="Century Gothic" w:cs="Century Gothic" w:eastAsia="Century Gothic" w:hAnsi="Century Gothic"/>
                <w:b/>
                <w:bCs/>
                <w:i w:val="false"/>
                <w:iCs w:val="false"/>
                <w:color w:val="FFFFFF"/>
                <w:sz w:val="20"/>
                <w:szCs w:val="20"/>
              </w:rPr>
              <w:t xml:space="preserve">What does the project entail?  What are the delivery methods?</w:t>
            </w:r>
          </w:p>
        </w:tc>
      </w:tr>
      <w:tr>
        <w:tc>
          <w:tcPr>
            <w:tcW w:type="dxa" w:w="107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Agentic Consulting will design, build, deploy, and validate the Agentic Evaluation Harness for Education (the "Platform") — a teacher-facing, evidence-grounded grading system for constructed-response assessment at 150–350 students per class, running open-weight models. The Platform returns per-student criterion narratives with cited evidence spans and a class-level diagnostic view, and is built so that a complete grade is delivered for every submission without per-student teacher action.</w:t>
            </w:r>
          </w:p>
          <w:p>
            <w:pPr>
              <w:spacing w:after="20" w:before="20"/>
            </w:pPr>
            <w:r>
              <w:rPr>
                <w:rFonts w:ascii="Century Gothic" w:cs="Century Gothic" w:eastAsia="Century Gothic" w:hAnsi="Century Gothic"/>
                <w:b w:val="false"/>
                <w:bCs w:val="false"/>
                <w:i w:val="false"/>
                <w:iCs w:val="false"/>
                <w:color w:val="000000"/>
                <w:sz w:val="20"/>
                <w:szCs w:val="20"/>
              </w:rPr>
              <w:t xml:space="preserve">The Platform is delivered in two successive deployment profiles from a single codebase, selected by configuration through one provider abstraction with no backend-specific code path in any pipeline stage:</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Cloud-hosted — all development, continuous integration, and the first end-to-end feasibility pilot, against open-weight models served through a hosted inference provider.</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Edge-local — the identical codebase deployed to Apple Silicon hardware and validated by a full hardware acceptance test, running offline with student work never leaving the machine.</w:t>
            </w:r>
          </w:p>
          <w:p>
            <w:pPr>
              <w:spacing w:after="20" w:before="20"/>
            </w:pPr>
            <w:r>
              <w:rPr>
                <w:rFonts w:ascii="Century Gothic" w:cs="Century Gothic" w:eastAsia="Century Gothic" w:hAnsi="Century Gothic"/>
                <w:b/>
                <w:bCs/>
                <w:i w:val="false"/>
                <w:iCs w:val="false"/>
                <w:color w:val="000000"/>
                <w:sz w:val="20"/>
                <w:szCs w:val="20"/>
              </w:rPr>
              <w:t xml:space="preserve">Delivery method.</w:t>
            </w:r>
          </w:p>
          <w:p>
            <w:pPr>
              <w:spacing w:after="20" w:before="20"/>
            </w:pPr>
            <w:r>
              <w:rPr>
                <w:rFonts w:ascii="Century Gothic" w:cs="Century Gothic" w:eastAsia="Century Gothic" w:hAnsi="Century Gothic"/>
                <w:b w:val="false"/>
                <w:bCs w:val="false"/>
                <w:i w:val="false"/>
                <w:iCs w:val="false"/>
                <w:color w:val="000000"/>
                <w:sz w:val="20"/>
                <w:szCs w:val="20"/>
              </w:rPr>
              <w:t xml:space="preserve">Work proceeds in eight sequential, independently valuable gates (G0–G7), each with defined deliverables and objectively testable acceptance criteria set out in Schedule A of the Agreement. Each gate is submitted with a Gate Report stating the measured result criterion by criterion; MIT has ten (10) business days to accept or to notify non-conformity with specificity, and Consultant has twenty (20) business days to cure. Gates G5 and G6 are feasibility gates: pass/fail engineering measurements whose findings may revise the plan by Change Order rather than constitute a breach.</w:t>
            </w:r>
          </w:p>
          <w:p>
            <w:pPr>
              <w:spacing w:after="20" w:before="20"/>
            </w:pPr>
            <w:r>
              <w:rPr>
                <w:rFonts w:ascii="Century Gothic" w:cs="Century Gothic" w:eastAsia="Century Gothic" w:hAnsi="Century Gothic"/>
                <w:b w:val="false"/>
                <w:bCs w:val="false"/>
                <w:i w:val="false"/>
                <w:iCs w:val="false"/>
                <w:color w:val="000000"/>
                <w:sz w:val="20"/>
                <w:szCs w:val="20"/>
              </w:rPr>
              <w:t xml:space="preserve">Consultant performs the Services at its own premises using its own equipment, continuous integration, and AI-assisted development tooling, and remains fully responsible for the correctness, licensing, and security of everything delivered. This engagement is fixed-price for a delivered and accepted result; it is not time-and-materials, and the fee is not adjustable by reference to hours worked or to the method of production.</w:t>
            </w:r>
          </w:p>
        </w:tc>
      </w:tr>
    </w:tbl>
    <w:p>
      <w:pPr>
        <w:spacing w:after="80" w:before="320"/>
      </w:pPr>
      <w:r>
        <w:rPr>
          <w:rFonts w:ascii="Century Gothic" w:cs="Century Gothic" w:eastAsia="Century Gothic" w:hAnsi="Century Gothic"/>
          <w:b/>
          <w:bCs/>
          <w:i w:val="false"/>
          <w:iCs w:val="false"/>
          <w:color w:val="595959"/>
          <w:sz w:val="28"/>
          <w:szCs w:val="28"/>
        </w:rPr>
        <w:t xml:space="preserve">PROJECT DELIVERABLES</w:t>
      </w:r>
    </w:p>
    <w:tbl>
      <w:tblPr>
        <w:tblW w:type="dxa" w:w="10710"/>
        <w:tblBorders>
          <w:top w:val="single" w:color="BFBFBF" w:sz="4"/>
          <w:left w:val="single" w:color="BFBFBF" w:sz="4"/>
          <w:bottom w:val="single" w:color="BFBFBF" w:sz="4"/>
          <w:right w:val="single" w:color="BFBFBF" w:sz="4"/>
          <w:insideH w:val="single" w:color="BFBFBF" w:sz="4"/>
          <w:insideV w:val="single" w:color="BFBFBF" w:sz="4"/>
        </w:tblBorders>
      </w:tblPr>
      <w:tblGrid>
        <w:gridCol w:w="10710"/>
      </w:tblGrid>
      <w:tr>
        <w:trPr>
          <w:tblHeader/>
        </w:trPr>
        <w:tc>
          <w:tcPr>
            <w:tcW w:type="dxa" w:w="10710"/>
            <w:shd w:fill="222B35" w:color="auto" w:val="clear"/>
            <w:tcMar>
              <w:top w:type="dxa" w:w="80"/>
              <w:left w:type="dxa" w:w="120"/>
              <w:bottom w:type="dxa" w:w="80"/>
              <w:right w:type="dxa" w:w="120"/>
            </w:tcMar>
            <w:vAlign w:val="center"/>
          </w:tcPr>
          <w:p>
            <w:pPr>
              <w:spacing w:after="20" w:before="20"/>
              <w:jc w:val="center"/>
            </w:pPr>
            <w:r>
              <w:rPr>
                <w:rFonts w:ascii="Century Gothic" w:cs="Century Gothic" w:eastAsia="Century Gothic" w:hAnsi="Century Gothic"/>
                <w:b/>
                <w:bCs/>
                <w:i w:val="false"/>
                <w:iCs w:val="false"/>
                <w:color w:val="FFFFFF"/>
                <w:sz w:val="20"/>
                <w:szCs w:val="20"/>
              </w:rPr>
              <w:t xml:space="preserve">The tangible products and services resulting from this project</w:t>
            </w:r>
          </w:p>
        </w:tc>
      </w:tr>
      <w:tr>
        <w:tc>
          <w:tcPr>
            <w:tcW w:type="dxa" w:w="107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Across Gates G0–G7 the following tangible products are delivered and accepted:</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Complete Platform source code, build scripts, deployment runbook, and configuration reference, with every model, build, quantization, prompt template, and rubric version pinned.</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Ingestion module converting assessment, reference solution, rubric, and student submissions — typed or handwritten — into canonical, content-hashed, immutable Markdown, with per-page provenance and the V0–V4 validation ladder including wrong-test detection and the operator quarantine queue.</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Scoring engine: evidence extraction with span verification, the judgment isolation boundary, band-based panel scoring on closed criterion-specific band sets, odd-panel aggregation with chance-corrected agreement, the deterministic multiple-choice evaluator, and confidence routing with inversion on evidence-integrity failure.</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Declarative grade policy engine — weighted sums, gates, drop-lowest/best-k-of-n, scaling, rounding, and a grade boundary table — expressible as data, with a plain-language rendering for teacher approval and a working default.</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The teacher-facing console: a single, local, browser-based application bound to loopback, covering package setup, cohort upload and ingestion preflight, run monitor, operator quarantine, the review queue budgeted in teacher-minutes, blind and whole-grade sample flows, class rollup and finalization, and student detail.</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Assessment Package export and import as a single self-contained file, with exemplar provenance enforcement and a cumulative, population-scoped validation record.</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Gate G5 Feasibility Report on the largest real cohort MIT supplies (target ≥ 250 submissions): wall clock, cost per assessment, ingestion failure and triage rates, teacher-minutes consumed, per-criterion chance-corrected agreement with sample size, score-compression check, and surface-proxy regression.</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Gate G6 Hardware Acceptance Report on approximately 350 submissions on the MIT-Furnished Equipment, with the backend conformance run comparing local and hosted builds on identical fixtures.</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Operator manual, plain-language teacher guide, two training sessions, bill of materials for all third-party components and model weights with licenses and pinned versions, and a known-limitations register.</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A perpetual, irrevocable, worldwide, royalty-free license to the Platform for MIT’s research, instructional, and educational purposes, with the right to sublicense to Participating Schools, effective as to each Deliverable on its acceptance (Article 8).</w:t>
            </w:r>
          </w:p>
        </w:tc>
      </w:tr>
    </w:tbl>
    <w:p>
      <w:pPr>
        <w:spacing w:after="80" w:before="320"/>
      </w:pPr>
      <w:r>
        <w:rPr>
          <w:rFonts w:ascii="Century Gothic" w:cs="Century Gothic" w:eastAsia="Century Gothic" w:hAnsi="Century Gothic"/>
          <w:b/>
          <w:bCs/>
          <w:i w:val="false"/>
          <w:iCs w:val="false"/>
          <w:color w:val="595959"/>
          <w:sz w:val="28"/>
          <w:szCs w:val="28"/>
        </w:rPr>
        <w:t xml:space="preserve">EXCLUSIONS</w:t>
      </w:r>
    </w:p>
    <w:tbl>
      <w:tblPr>
        <w:tblW w:type="dxa" w:w="10710"/>
        <w:tblBorders>
          <w:top w:val="single" w:color="BFBFBF" w:sz="4"/>
          <w:left w:val="single" w:color="BFBFBF" w:sz="4"/>
          <w:bottom w:val="single" w:color="BFBFBF" w:sz="4"/>
          <w:right w:val="single" w:color="BFBFBF" w:sz="4"/>
          <w:insideH w:val="single" w:color="BFBFBF" w:sz="4"/>
          <w:insideV w:val="single" w:color="BFBFBF" w:sz="4"/>
        </w:tblBorders>
      </w:tblPr>
      <w:tblGrid>
        <w:gridCol w:w="10710"/>
      </w:tblGrid>
      <w:tr>
        <w:trPr>
          <w:tblHeader/>
        </w:trPr>
        <w:tc>
          <w:tcPr>
            <w:tcW w:type="dxa" w:w="10710"/>
            <w:shd w:fill="222B35" w:color="auto" w:val="clear"/>
            <w:tcMar>
              <w:top w:type="dxa" w:w="80"/>
              <w:left w:type="dxa" w:w="120"/>
              <w:bottom w:type="dxa" w:w="80"/>
              <w:right w:type="dxa" w:w="120"/>
            </w:tcMar>
            <w:vAlign w:val="center"/>
          </w:tcPr>
          <w:p>
            <w:pPr>
              <w:spacing w:after="20" w:before="20"/>
              <w:jc w:val="center"/>
            </w:pPr>
            <w:r>
              <w:rPr>
                <w:rFonts w:ascii="Century Gothic" w:cs="Century Gothic" w:eastAsia="Century Gothic" w:hAnsi="Century Gothic"/>
                <w:b/>
                <w:bCs/>
                <w:i w:val="false"/>
                <w:iCs w:val="false"/>
                <w:color w:val="FFFFFF"/>
                <w:sz w:val="20"/>
                <w:szCs w:val="20"/>
              </w:rPr>
              <w:t xml:space="preserve">What this Statement of Work does not cover</w:t>
            </w:r>
          </w:p>
        </w:tc>
      </w:tr>
      <w:tr>
        <w:tc>
          <w:tcPr>
            <w:tcW w:type="dxa" w:w="107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The following are outside this Statement of Work. Each may be added by Change Order under Article 12 and, where applicable, is priced at the Schedule B.4 rates.</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Rubric calibration and elicitation — Stage B ambiguity discovery, teacher-authored rubric revision, and any rubric-calibration capability. The console renders this touchpoint as present-and-unavailable, naming the version in which it arrives.</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Console authentication, multi-user accounts, roles, per-user audit attribution, transport security, and any cloud-hosted exposure of the console. Longitudinal cross-term dashboards and student-facing views are likewise excluded.</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Creation of curricula or assessment content; scanning or digitization of student work; teacher recruitment.</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Procurement or operation of MIT’s network, identity, or student information systems.</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IRB / COUHES submissions, consents, and research-compliance approvals.</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Translation or localization beyond the language(s) named in Schedule A.</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Purchase of the MIT-Furnished Equipment. MIT obtains the Apple Silicon hardware from a source of its own choosing, at its own cost; it is not a line item here and is not reimbursable.</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Post-acceptance support and maintenance, model-version migration, deployment to Participating Schools beyond the first, and training sessions beyond the two included at Gate G7.</w:t>
            </w:r>
          </w:p>
        </w:tc>
      </w:tr>
    </w:tbl>
    <w:p>
      <w:pPr>
        <w:pageBreakBefore/>
      </w:pPr>
      <w:r>
        <w:t xml:space="preserve"/>
      </w:r>
    </w:p>
    <w:p>
      <w:pPr>
        <w:spacing w:after="80" w:before="320"/>
      </w:pPr>
      <w:r>
        <w:rPr>
          <w:rFonts w:ascii="Century Gothic" w:cs="Century Gothic" w:eastAsia="Century Gothic" w:hAnsi="Century Gothic"/>
          <w:b/>
          <w:bCs/>
          <w:i w:val="false"/>
          <w:iCs w:val="false"/>
          <w:color w:val="595959"/>
          <w:sz w:val="28"/>
          <w:szCs w:val="28"/>
        </w:rPr>
        <w:t xml:space="preserve">MILESTONES</w:t>
      </w:r>
    </w:p>
    <w:tbl>
      <w:tblPr>
        <w:tblW w:type="dxa" w:w="1071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3810"/>
        <w:gridCol w:w="2700"/>
        <w:gridCol w:w="2700"/>
      </w:tblGrid>
      <w:tr>
        <w:trPr>
          <w:tblHeader/>
        </w:trPr>
        <w:tc>
          <w:tcPr>
            <w:tcW w:type="dxa" w:w="1500"/>
            <w:shd w:fill="222B35" w:color="auto" w:val="clear"/>
            <w:tcMar>
              <w:top w:type="dxa" w:w="80"/>
              <w:left w:type="dxa" w:w="120"/>
              <w:bottom w:type="dxa" w:w="80"/>
              <w:right w:type="dxa" w:w="120"/>
            </w:tcMar>
            <w:vAlign w:val="center"/>
          </w:tcPr>
          <w:p>
            <w:pPr>
              <w:spacing w:after="20" w:before="20"/>
              <w:jc w:val="left"/>
            </w:pPr>
            <w:r>
              <w:rPr>
                <w:rFonts w:ascii="Century Gothic" w:cs="Century Gothic" w:eastAsia="Century Gothic" w:hAnsi="Century Gothic"/>
                <w:b/>
                <w:bCs/>
                <w:i w:val="false"/>
                <w:iCs w:val="false"/>
                <w:color w:val="FFFFFF"/>
                <w:sz w:val="20"/>
                <w:szCs w:val="20"/>
              </w:rPr>
              <w:t xml:space="preserve">DELIVERY DATE</w:t>
            </w:r>
          </w:p>
        </w:tc>
        <w:tc>
          <w:tcPr>
            <w:tcW w:type="dxa" w:w="3810"/>
            <w:shd w:fill="222B35" w:color="auto" w:val="clear"/>
            <w:tcMar>
              <w:top w:type="dxa" w:w="80"/>
              <w:left w:type="dxa" w:w="120"/>
              <w:bottom w:type="dxa" w:w="80"/>
              <w:right w:type="dxa" w:w="120"/>
            </w:tcMar>
            <w:vAlign w:val="center"/>
          </w:tcPr>
          <w:p>
            <w:pPr>
              <w:spacing w:after="20" w:before="20"/>
              <w:jc w:val="left"/>
            </w:pPr>
            <w:r>
              <w:rPr>
                <w:rFonts w:ascii="Century Gothic" w:cs="Century Gothic" w:eastAsia="Century Gothic" w:hAnsi="Century Gothic"/>
                <w:b/>
                <w:bCs/>
                <w:i w:val="false"/>
                <w:iCs w:val="false"/>
                <w:color w:val="FFFFFF"/>
                <w:sz w:val="20"/>
                <w:szCs w:val="20"/>
              </w:rPr>
              <w:t xml:space="preserve">TASK</w:t>
            </w:r>
          </w:p>
        </w:tc>
        <w:tc>
          <w:tcPr>
            <w:tcW w:type="dxa" w:w="2700"/>
            <w:shd w:fill="222B35" w:color="auto" w:val="clear"/>
            <w:tcMar>
              <w:top w:type="dxa" w:w="80"/>
              <w:left w:type="dxa" w:w="120"/>
              <w:bottom w:type="dxa" w:w="80"/>
              <w:right w:type="dxa" w:w="120"/>
            </w:tcMar>
            <w:vAlign w:val="center"/>
          </w:tcPr>
          <w:p>
            <w:pPr>
              <w:spacing w:after="20" w:before="20"/>
              <w:jc w:val="left"/>
            </w:pPr>
            <w:r>
              <w:rPr>
                <w:rFonts w:ascii="Century Gothic" w:cs="Century Gothic" w:eastAsia="Century Gothic" w:hAnsi="Century Gothic"/>
                <w:b/>
                <w:bCs/>
                <w:i w:val="false"/>
                <w:iCs w:val="false"/>
                <w:color w:val="FFFFFF"/>
                <w:sz w:val="20"/>
                <w:szCs w:val="20"/>
              </w:rPr>
              <w:t xml:space="preserve">GOODS REQUIRED FROM MIT</w:t>
            </w:r>
          </w:p>
        </w:tc>
        <w:tc>
          <w:tcPr>
            <w:tcW w:type="dxa" w:w="2700"/>
            <w:shd w:fill="222B35" w:color="auto" w:val="clear"/>
            <w:tcMar>
              <w:top w:type="dxa" w:w="80"/>
              <w:left w:type="dxa" w:w="120"/>
              <w:bottom w:type="dxa" w:w="80"/>
              <w:right w:type="dxa" w:w="120"/>
            </w:tcMar>
            <w:vAlign w:val="center"/>
          </w:tcPr>
          <w:p>
            <w:pPr>
              <w:spacing w:after="20" w:before="20"/>
              <w:jc w:val="left"/>
            </w:pPr>
            <w:r>
              <w:rPr>
                <w:rFonts w:ascii="Century Gothic" w:cs="Century Gothic" w:eastAsia="Century Gothic" w:hAnsi="Century Gothic"/>
                <w:b/>
                <w:bCs/>
                <w:i w:val="false"/>
                <w:iCs w:val="false"/>
                <w:color w:val="FFFFFF"/>
                <w:sz w:val="20"/>
                <w:szCs w:val="20"/>
              </w:rPr>
              <w:t xml:space="preserve">SERVICES REQUIRED FROM MIT</w:t>
            </w:r>
          </w:p>
        </w:tc>
      </w:tr>
      <w:tr>
        <w:tc>
          <w:tcPr>
            <w:tcW w:type="dxa" w:w="15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Effective Date + 2 wks</w:t>
            </w:r>
          </w:p>
        </w:tc>
        <w:tc>
          <w:tcPr>
            <w:tcW w:type="dxa" w:w="381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G0 — Mobilization and project baseline</w:t>
            </w:r>
          </w:p>
          <w:p>
            <w:pPr>
              <w:spacing w:after="20" w:before="20"/>
            </w:pPr>
            <w:r>
              <w:rPr>
                <w:rFonts w:ascii="Century Gothic" w:cs="Century Gothic" w:eastAsia="Century Gothic" w:hAnsi="Century Gothic"/>
                <w:b w:val="false"/>
                <w:bCs w:val="false"/>
                <w:i w:val="false"/>
                <w:iCs w:val="false"/>
                <w:color w:val="595959"/>
                <w:sz w:val="20"/>
                <w:szCs w:val="20"/>
              </w:rPr>
              <w:t xml:space="preserve">8% · $10,800</w:t>
            </w:r>
          </w:p>
        </w:tc>
        <w:tc>
          <w:tcPr>
            <w:tcW w:type="dxa" w:w="27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w:t>
            </w:r>
          </w:p>
        </w:tc>
        <w:tc>
          <w:tcPr>
            <w:tcW w:type="dxa" w:w="27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D1 — MIT-held inference account operational, Consultant granted access, spend limit set</w:t>
            </w:r>
          </w:p>
        </w:tc>
      </w:tr>
      <w:tr>
        <w:tc>
          <w:tcPr>
            <w:tcW w:type="dxa" w:w="15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+ 6 wks</w:t>
            </w:r>
          </w:p>
        </w:tc>
        <w:tc>
          <w:tcPr>
            <w:tcW w:type="dxa" w:w="381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G1 — Foundations: provider abstraction, persistence, and audit</w:t>
            </w:r>
          </w:p>
          <w:p>
            <w:pPr>
              <w:spacing w:after="20" w:before="20"/>
            </w:pPr>
            <w:r>
              <w:rPr>
                <w:rFonts w:ascii="Century Gothic" w:cs="Century Gothic" w:eastAsia="Century Gothic" w:hAnsi="Century Gothic"/>
                <w:b w:val="false"/>
                <w:bCs w:val="false"/>
                <w:i w:val="false"/>
                <w:iCs w:val="false"/>
                <w:color w:val="595959"/>
                <w:sz w:val="20"/>
                <w:szCs w:val="20"/>
              </w:rPr>
              <w:t xml:space="preserve">10% · $13,500</w:t>
            </w:r>
          </w:p>
        </w:tc>
        <w:tc>
          <w:tcPr>
            <w:tcW w:type="dxa" w:w="27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w:t>
            </w:r>
          </w:p>
        </w:tc>
        <w:tc>
          <w:tcPr>
            <w:tcW w:type="dxa" w:w="27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w:t>
            </w:r>
          </w:p>
        </w:tc>
      </w:tr>
      <w:tr>
        <w:tc>
          <w:tcPr>
            <w:tcW w:type="dxa" w:w="15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+ 12 wks</w:t>
            </w:r>
          </w:p>
        </w:tc>
        <w:tc>
          <w:tcPr>
            <w:tcW w:type="dxa" w:w="381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G2 — Ingestion, transcription, and the validation ladder  (highest-risk Gate)</w:t>
            </w:r>
          </w:p>
          <w:p>
            <w:pPr>
              <w:spacing w:after="20" w:before="20"/>
            </w:pPr>
            <w:r>
              <w:rPr>
                <w:rFonts w:ascii="Century Gothic" w:cs="Century Gothic" w:eastAsia="Century Gothic" w:hAnsi="Century Gothic"/>
                <w:b w:val="false"/>
                <w:bCs w:val="false"/>
                <w:i w:val="false"/>
                <w:iCs w:val="false"/>
                <w:color w:val="595959"/>
                <w:sz w:val="20"/>
                <w:szCs w:val="20"/>
              </w:rPr>
              <w:t xml:space="preserve">16% · $21,600</w:t>
            </w:r>
          </w:p>
        </w:tc>
        <w:tc>
          <w:tcPr>
            <w:tcW w:type="dxa" w:w="27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D2 — Real scanned-handwriting fixtures, consented, spanning legible to marginal; may be small</w:t>
            </w:r>
          </w:p>
        </w:tc>
        <w:tc>
          <w:tcPr>
            <w:tcW w:type="dxa" w:w="27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w:t>
            </w:r>
          </w:p>
        </w:tc>
      </w:tr>
      <w:tr>
        <w:tc>
          <w:tcPr>
            <w:tcW w:type="dxa" w:w="15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+ 18 wks</w:t>
            </w:r>
          </w:p>
        </w:tc>
        <w:tc>
          <w:tcPr>
            <w:tcW w:type="dxa" w:w="381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G3 — Scoring engine: extraction, isolation, panel, and routing</w:t>
            </w:r>
          </w:p>
          <w:p>
            <w:pPr>
              <w:spacing w:after="20" w:before="20"/>
            </w:pPr>
            <w:r>
              <w:rPr>
                <w:rFonts w:ascii="Century Gothic" w:cs="Century Gothic" w:eastAsia="Century Gothic" w:hAnsi="Century Gothic"/>
                <w:b w:val="false"/>
                <w:bCs w:val="false"/>
                <w:i w:val="false"/>
                <w:iCs w:val="false"/>
                <w:color w:val="595959"/>
                <w:sz w:val="20"/>
                <w:szCs w:val="20"/>
              </w:rPr>
              <w:t xml:space="preserve">16% · $21,600</w:t>
            </w:r>
          </w:p>
        </w:tc>
        <w:tc>
          <w:tcPr>
            <w:tcW w:type="dxa" w:w="27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w:t>
            </w:r>
          </w:p>
        </w:tc>
        <w:tc>
          <w:tcPr>
            <w:tcW w:type="dxa" w:w="27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w:t>
            </w:r>
          </w:p>
        </w:tc>
      </w:tr>
      <w:tr>
        <w:tc>
          <w:tcPr>
            <w:tcW w:type="dxa" w:w="15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+ 24 wks</w:t>
            </w:r>
          </w:p>
        </w:tc>
        <w:tc>
          <w:tcPr>
            <w:tcW w:type="dxa" w:w="381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G4 — Grade policy, teacher console, operator surfaces, assessment package</w:t>
            </w:r>
          </w:p>
          <w:p>
            <w:pPr>
              <w:spacing w:after="20" w:before="20"/>
            </w:pPr>
            <w:r>
              <w:rPr>
                <w:rFonts w:ascii="Century Gothic" w:cs="Century Gothic" w:eastAsia="Century Gothic" w:hAnsi="Century Gothic"/>
                <w:b w:val="false"/>
                <w:bCs w:val="false"/>
                <w:i w:val="false"/>
                <w:iCs w:val="false"/>
                <w:color w:val="595959"/>
                <w:sz w:val="20"/>
                <w:szCs w:val="20"/>
              </w:rPr>
              <w:t xml:space="preserve">14% · $18,900</w:t>
            </w:r>
          </w:p>
        </w:tc>
        <w:tc>
          <w:tcPr>
            <w:tcW w:type="dxa" w:w="27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w:t>
            </w:r>
          </w:p>
        </w:tc>
        <w:tc>
          <w:tcPr>
            <w:tcW w:type="dxa" w:w="27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D3 — Named teacher(s) available for setup, rubric read-back, grade-policy declaration, and the blind sample</w:t>
            </w:r>
          </w:p>
        </w:tc>
      </w:tr>
      <w:tr>
        <w:tc>
          <w:tcPr>
            <w:tcW w:type="dxa" w:w="15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+ 28 wks</w:t>
            </w:r>
          </w:p>
        </w:tc>
        <w:tc>
          <w:tcPr>
            <w:tcW w:type="dxa" w:w="381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G5 — Cloud feasibility pilot  (feasibility gate)</w:t>
            </w:r>
          </w:p>
          <w:p>
            <w:pPr>
              <w:spacing w:after="20" w:before="20"/>
            </w:pPr>
            <w:r>
              <w:rPr>
                <w:rFonts w:ascii="Century Gothic" w:cs="Century Gothic" w:eastAsia="Century Gothic" w:hAnsi="Century Gothic"/>
                <w:b w:val="false"/>
                <w:bCs w:val="false"/>
                <w:i w:val="false"/>
                <w:iCs w:val="false"/>
                <w:color w:val="595959"/>
                <w:sz w:val="20"/>
                <w:szCs w:val="20"/>
              </w:rPr>
              <w:t xml:space="preserve">14% · $18,900</w:t>
            </w:r>
          </w:p>
        </w:tc>
        <w:tc>
          <w:tcPr>
            <w:tcW w:type="dxa" w:w="27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D4 — Largest available real cohort, target ≥ 250 submissions</w:t>
            </w:r>
          </w:p>
        </w:tc>
        <w:tc>
          <w:tcPr>
            <w:tcW w:type="dxa" w:w="27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D4 — Consents and COUHES approval as applicable</w:t>
            </w:r>
          </w:p>
        </w:tc>
      </w:tr>
      <w:tr>
        <w:tc>
          <w:tcPr>
            <w:tcW w:type="dxa" w:w="15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+ 32 wks</w:t>
            </w:r>
          </w:p>
        </w:tc>
        <w:tc>
          <w:tcPr>
            <w:tcW w:type="dxa" w:w="381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G6 — Edge deployment on Apple Silicon and hardware acceptance test  (feasibility gate)</w:t>
            </w:r>
          </w:p>
          <w:p>
            <w:pPr>
              <w:spacing w:after="20" w:before="20"/>
            </w:pPr>
            <w:r>
              <w:rPr>
                <w:rFonts w:ascii="Century Gothic" w:cs="Century Gothic" w:eastAsia="Century Gothic" w:hAnsi="Century Gothic"/>
                <w:b w:val="false"/>
                <w:bCs w:val="false"/>
                <w:i w:val="false"/>
                <w:iCs w:val="false"/>
                <w:color w:val="595959"/>
                <w:sz w:val="20"/>
                <w:szCs w:val="20"/>
              </w:rPr>
              <w:t xml:space="preserve">12% · $16,200</w:t>
            </w:r>
          </w:p>
        </w:tc>
        <w:tc>
          <w:tcPr>
            <w:tcW w:type="dxa" w:w="27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D5 — MIT-Furnished Equipment delivered to Consultant</w:t>
            </w:r>
          </w:p>
        </w:tc>
        <w:tc>
          <w:tcPr>
            <w:tcW w:type="dxa" w:w="27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w:t>
            </w:r>
          </w:p>
        </w:tc>
      </w:tr>
      <w:tr>
        <w:tc>
          <w:tcPr>
            <w:tcW w:type="dxa" w:w="15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+ 36 wks</w:t>
            </w:r>
          </w:p>
        </w:tc>
        <w:tc>
          <w:tcPr>
            <w:tcW w:type="dxa" w:w="381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G7 — Final acceptance, documentation, training, and handover</w:t>
            </w:r>
          </w:p>
          <w:p>
            <w:pPr>
              <w:spacing w:after="20" w:before="20"/>
            </w:pPr>
            <w:r>
              <w:rPr>
                <w:rFonts w:ascii="Century Gothic" w:cs="Century Gothic" w:eastAsia="Century Gothic" w:hAnsi="Century Gothic"/>
                <w:b w:val="false"/>
                <w:bCs w:val="false"/>
                <w:i w:val="false"/>
                <w:iCs w:val="false"/>
                <w:color w:val="595959"/>
                <w:sz w:val="20"/>
                <w:szCs w:val="20"/>
              </w:rPr>
              <w:t xml:space="preserve">10% · $13,500</w:t>
            </w:r>
          </w:p>
        </w:tc>
        <w:tc>
          <w:tcPr>
            <w:tcW w:type="dxa" w:w="27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w:t>
            </w:r>
          </w:p>
        </w:tc>
        <w:tc>
          <w:tcPr>
            <w:tcW w:type="dxa" w:w="27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D6 — MIT personnel available for training and the unassisted end-to-end run</w:t>
            </w:r>
          </w:p>
        </w:tc>
      </w:tr>
    </w:tbl>
    <w:p>
      <w:pPr>
        <w:spacing w:after="20" w:before="100"/>
      </w:pPr>
      <w:r>
        <w:rPr>
          <w:rFonts w:ascii="Century Gothic" w:cs="Century Gothic" w:eastAsia="Century Gothic" w:hAnsi="Century Gothic"/>
          <w:b w:val="false"/>
          <w:bCs w:val="false"/>
          <w:i/>
          <w:iCs/>
          <w:color w:val="595959"/>
          <w:sz w:val="18"/>
          <w:szCs w:val="18"/>
        </w:rPr>
        <w:t xml:space="preserve">Dates are targets measured from the Effective Date, refined by the project plan delivered at Gate G0. They are planning estimates, not deadlines. Delay to any MIT dependency extends the affected schedule day-for-day.</w:t>
      </w:r>
    </w:p>
    <w:p>
      <w:pPr>
        <w:spacing w:after="80" w:before="320"/>
      </w:pPr>
      <w:r>
        <w:rPr>
          <w:rFonts w:ascii="Century Gothic" w:cs="Century Gothic" w:eastAsia="Century Gothic" w:hAnsi="Century Gothic"/>
          <w:b/>
          <w:bCs/>
          <w:i w:val="false"/>
          <w:iCs w:val="false"/>
          <w:color w:val="595959"/>
          <w:sz w:val="28"/>
          <w:szCs w:val="28"/>
        </w:rPr>
        <w:t xml:space="preserve">STAKEHOLDERS</w:t>
      </w:r>
    </w:p>
    <w:tbl>
      <w:tblPr>
        <w:tblW w:type="dxa" w:w="10710"/>
        <w:tblBorders>
          <w:top w:val="single" w:color="BFBFBF" w:sz="4"/>
          <w:left w:val="single" w:color="BFBFBF" w:sz="4"/>
          <w:bottom w:val="single" w:color="BFBFBF" w:sz="4"/>
          <w:right w:val="single" w:color="BFBFBF" w:sz="4"/>
          <w:insideH w:val="single" w:color="BFBFBF" w:sz="4"/>
          <w:insideV w:val="single" w:color="BFBFBF" w:sz="4"/>
        </w:tblBorders>
      </w:tblPr>
      <w:tblGrid>
        <w:gridCol w:w="1250"/>
        <w:gridCol w:w="3260"/>
        <w:gridCol w:w="6200"/>
      </w:tblGrid>
      <w:tr>
        <w:trPr>
          <w:tblHeader/>
        </w:trPr>
        <w:tc>
          <w:tcPr>
            <w:tcW w:type="dxa" w:w="1250"/>
            <w:shd w:fill="222B35" w:color="auto" w:val="clear"/>
            <w:tcMar>
              <w:top w:type="dxa" w:w="80"/>
              <w:left w:type="dxa" w:w="120"/>
              <w:bottom w:type="dxa" w:w="80"/>
              <w:right w:type="dxa" w:w="120"/>
            </w:tcMar>
            <w:vAlign w:val="center"/>
          </w:tcPr>
          <w:p>
            <w:pPr>
              <w:spacing w:after="20" w:before="20"/>
              <w:jc w:val="left"/>
            </w:pPr>
            <w:r>
              <w:rPr>
                <w:rFonts w:ascii="Century Gothic" w:cs="Century Gothic" w:eastAsia="Century Gothic" w:hAnsi="Century Gothic"/>
                <w:b/>
                <w:bCs/>
                <w:i w:val="false"/>
                <w:iCs w:val="false"/>
                <w:color w:val="FFFFFF"/>
                <w:sz w:val="20"/>
                <w:szCs w:val="20"/>
              </w:rPr>
              <w:t xml:space="preserve">ID</w:t>
            </w:r>
          </w:p>
        </w:tc>
        <w:tc>
          <w:tcPr>
            <w:tcW w:type="dxa" w:w="3260"/>
            <w:shd w:fill="222B35" w:color="auto" w:val="clear"/>
            <w:tcMar>
              <w:top w:type="dxa" w:w="80"/>
              <w:left w:type="dxa" w:w="120"/>
              <w:bottom w:type="dxa" w:w="80"/>
              <w:right w:type="dxa" w:w="120"/>
            </w:tcMar>
            <w:vAlign w:val="center"/>
          </w:tcPr>
          <w:p>
            <w:pPr>
              <w:spacing w:after="20" w:before="20"/>
              <w:jc w:val="left"/>
            </w:pPr>
            <w:r>
              <w:rPr>
                <w:rFonts w:ascii="Century Gothic" w:cs="Century Gothic" w:eastAsia="Century Gothic" w:hAnsi="Century Gothic"/>
                <w:b/>
                <w:bCs/>
                <w:i w:val="false"/>
                <w:iCs w:val="false"/>
                <w:color w:val="FFFFFF"/>
                <w:sz w:val="20"/>
                <w:szCs w:val="20"/>
              </w:rPr>
              <w:t xml:space="preserve">NAME &amp; TITLE</w:t>
            </w:r>
          </w:p>
        </w:tc>
        <w:tc>
          <w:tcPr>
            <w:tcW w:type="dxa" w:w="6200"/>
            <w:shd w:fill="222B35" w:color="auto" w:val="clear"/>
            <w:tcMar>
              <w:top w:type="dxa" w:w="80"/>
              <w:left w:type="dxa" w:w="120"/>
              <w:bottom w:type="dxa" w:w="80"/>
              <w:right w:type="dxa" w:w="120"/>
            </w:tcMar>
            <w:vAlign w:val="center"/>
          </w:tcPr>
          <w:p>
            <w:pPr>
              <w:spacing w:after="20" w:before="20"/>
              <w:jc w:val="left"/>
            </w:pPr>
            <w:r>
              <w:rPr>
                <w:rFonts w:ascii="Century Gothic" w:cs="Century Gothic" w:eastAsia="Century Gothic" w:hAnsi="Century Gothic"/>
                <w:b/>
                <w:bCs/>
                <w:i w:val="false"/>
                <w:iCs w:val="false"/>
                <w:color w:val="FFFFFF"/>
                <w:sz w:val="20"/>
                <w:szCs w:val="20"/>
              </w:rPr>
              <w:t xml:space="preserve">ROLE / RESPONSIBILITY</w:t>
            </w:r>
          </w:p>
        </w:tc>
      </w:tr>
      <w:tr>
        <w:tc>
          <w:tcPr>
            <w:tcW w:type="dxa" w:w="125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AC-01</w:t>
            </w:r>
          </w:p>
        </w:tc>
        <w:tc>
          <w:tcPr>
            <w:tcW w:type="dxa" w:w="326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Emmanuel (Manu) Cohen-Yashar</w:t>
            </w:r>
          </w:p>
          <w:p>
            <w:pPr>
              <w:spacing w:after="20" w:before="20"/>
            </w:pPr>
            <w:r>
              <w:rPr>
                <w:rFonts w:ascii="Century Gothic" w:cs="Century Gothic" w:eastAsia="Century Gothic" w:hAnsi="Century Gothic"/>
                <w:b w:val="false"/>
                <w:bCs w:val="false"/>
                <w:i w:val="false"/>
                <w:iCs w:val="false"/>
                <w:color w:val="595959"/>
                <w:sz w:val="20"/>
                <w:szCs w:val="20"/>
              </w:rPr>
              <w:t xml:space="preserve">Principal, Agentic Consulting</w:t>
            </w:r>
          </w:p>
        </w:tc>
        <w:tc>
          <w:tcPr>
            <w:tcW w:type="dxa" w:w="62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Technical lead. Performs or directly supervises all Services. Consultant’s authority for Gate submission, Gate Reports, Change Orders, and invoicing.</w:t>
            </w:r>
          </w:p>
        </w:tc>
      </w:tr>
      <w:tr>
        <w:tc>
          <w:tcPr>
            <w:tcW w:type="dxa" w:w="125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MIT-01</w:t>
            </w:r>
          </w:p>
        </w:tc>
        <w:tc>
          <w:tcPr>
            <w:tcW w:type="dxa" w:w="326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[to be named]</w:t>
            </w:r>
          </w:p>
          <w:p>
            <w:pPr>
              <w:spacing w:after="20" w:before="20"/>
            </w:pPr>
            <w:r>
              <w:rPr>
                <w:rFonts w:ascii="Century Gothic" w:cs="Century Gothic" w:eastAsia="Century Gothic" w:hAnsi="Century Gothic"/>
                <w:b w:val="false"/>
                <w:bCs w:val="false"/>
                <w:i w:val="false"/>
                <w:iCs w:val="false"/>
                <w:color w:val="595959"/>
                <w:sz w:val="20"/>
                <w:szCs w:val="20"/>
              </w:rPr>
              <w:t xml:space="preserve">Program Lead / Principal Investigator</w:t>
            </w:r>
          </w:p>
        </w:tc>
        <w:tc>
          <w:tcPr>
            <w:tcW w:type="dxa" w:w="62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MIT’s authority for Gate acceptance, notices of non-conformity, and Change Orders. Accountable for delivery of dependencies D1–D6.</w:t>
            </w:r>
          </w:p>
        </w:tc>
      </w:tr>
      <w:tr>
        <w:tc>
          <w:tcPr>
            <w:tcW w:type="dxa" w:w="125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MIT-02</w:t>
            </w:r>
          </w:p>
        </w:tc>
        <w:tc>
          <w:tcPr>
            <w:tcW w:type="dxa" w:w="326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[to be named]</w:t>
            </w:r>
          </w:p>
          <w:p>
            <w:pPr>
              <w:spacing w:after="20" w:before="20"/>
            </w:pPr>
            <w:r>
              <w:rPr>
                <w:rFonts w:ascii="Century Gothic" w:cs="Century Gothic" w:eastAsia="Century Gothic" w:hAnsi="Century Gothic"/>
                <w:b w:val="false"/>
                <w:bCs w:val="false"/>
                <w:i w:val="false"/>
                <w:iCs w:val="false"/>
                <w:color w:val="595959"/>
                <w:sz w:val="20"/>
                <w:szCs w:val="20"/>
              </w:rPr>
              <w:t xml:space="preserve">Participating teacher(s)</w:t>
            </w:r>
          </w:p>
        </w:tc>
        <w:tc>
          <w:tcPr>
            <w:tcW w:type="dxa" w:w="62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Dependency D3. Question inventory and answer-key confirmation, rubric read-back, grade-policy declaration, blind-sample labelling. Remains the marker of record for every grade.</w:t>
            </w:r>
          </w:p>
        </w:tc>
      </w:tr>
      <w:tr>
        <w:tc>
          <w:tcPr>
            <w:tcW w:type="dxa" w:w="125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MIT-03</w:t>
            </w:r>
          </w:p>
        </w:tc>
        <w:tc>
          <w:tcPr>
            <w:tcW w:type="dxa" w:w="326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[to be named]</w:t>
            </w:r>
          </w:p>
          <w:p>
            <w:pPr>
              <w:spacing w:after="20" w:before="20"/>
            </w:pPr>
            <w:r>
              <w:rPr>
                <w:rFonts w:ascii="Century Gothic" w:cs="Century Gothic" w:eastAsia="Century Gothic" w:hAnsi="Century Gothic"/>
                <w:b w:val="false"/>
                <w:bCs w:val="false"/>
                <w:i w:val="false"/>
                <w:iCs w:val="false"/>
                <w:color w:val="595959"/>
                <w:sz w:val="20"/>
                <w:szCs w:val="20"/>
              </w:rPr>
              <w:t xml:space="preserve">Program operator / scanning staff</w:t>
            </w:r>
          </w:p>
        </w:tc>
        <w:tc>
          <w:tcPr>
            <w:tcW w:type="dxa" w:w="62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Scanning and digitization of student work; quarantine triage and rescans. Performs the unassisted end-to-end run at Gate G7 (D6).</w:t>
            </w:r>
          </w:p>
        </w:tc>
      </w:tr>
      <w:tr>
        <w:tc>
          <w:tcPr>
            <w:tcW w:type="dxa" w:w="125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MIT-04</w:t>
            </w:r>
          </w:p>
        </w:tc>
        <w:tc>
          <w:tcPr>
            <w:tcW w:type="dxa" w:w="326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[to be named]</w:t>
            </w:r>
          </w:p>
          <w:p>
            <w:pPr>
              <w:spacing w:after="20" w:before="20"/>
            </w:pPr>
            <w:r>
              <w:rPr>
                <w:rFonts w:ascii="Century Gothic" w:cs="Century Gothic" w:eastAsia="Century Gothic" w:hAnsi="Century Gothic"/>
                <w:b w:val="false"/>
                <w:bCs w:val="false"/>
                <w:i w:val="false"/>
                <w:iCs w:val="false"/>
                <w:color w:val="595959"/>
                <w:sz w:val="20"/>
                <w:szCs w:val="20"/>
              </w:rPr>
              <w:t xml:space="preserve">MIT Technology Licensing Office</w:t>
            </w:r>
          </w:p>
        </w:tc>
        <w:tc>
          <w:tcPr>
            <w:tcW w:type="dxa" w:w="62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Review of Article 8 (intellectual property). Execution of any Joint Development Addendum under Schedule C.</w:t>
            </w:r>
          </w:p>
        </w:tc>
      </w:tr>
      <w:tr>
        <w:tc>
          <w:tcPr>
            <w:tcW w:type="dxa" w:w="125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MIT-05</w:t>
            </w:r>
          </w:p>
        </w:tc>
        <w:tc>
          <w:tcPr>
            <w:tcW w:type="dxa" w:w="326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[to be named]</w:t>
            </w:r>
          </w:p>
          <w:p>
            <w:pPr>
              <w:spacing w:after="20" w:before="20"/>
            </w:pPr>
            <w:r>
              <w:rPr>
                <w:rFonts w:ascii="Century Gothic" w:cs="Century Gothic" w:eastAsia="Century Gothic" w:hAnsi="Century Gothic"/>
                <w:b w:val="false"/>
                <w:bCs w:val="false"/>
                <w:i w:val="false"/>
                <w:iCs w:val="false"/>
                <w:color w:val="595959"/>
                <w:sz w:val="20"/>
                <w:szCs w:val="20"/>
              </w:rPr>
              <w:t xml:space="preserve">COUHES / research compliance</w:t>
            </w:r>
          </w:p>
        </w:tc>
        <w:tc>
          <w:tcPr>
            <w:tcW w:type="dxa" w:w="62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Consents and approvals for the real cohort supplied under D4, and for the handling of student data under Article 11.</w:t>
            </w:r>
          </w:p>
        </w:tc>
      </w:tr>
      <w:tr>
        <w:tc>
          <w:tcPr>
            <w:tcW w:type="dxa" w:w="125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MIT-06</w:t>
            </w:r>
          </w:p>
        </w:tc>
        <w:tc>
          <w:tcPr>
            <w:tcW w:type="dxa" w:w="326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[to be named]</w:t>
            </w:r>
          </w:p>
          <w:p>
            <w:pPr>
              <w:spacing w:after="20" w:before="20"/>
            </w:pPr>
            <w:r>
              <w:rPr>
                <w:rFonts w:ascii="Century Gothic" w:cs="Century Gothic" w:eastAsia="Century Gothic" w:hAnsi="Century Gothic"/>
                <w:b w:val="false"/>
                <w:bCs w:val="false"/>
                <w:i w:val="false"/>
                <w:iCs w:val="false"/>
                <w:color w:val="595959"/>
                <w:sz w:val="20"/>
                <w:szCs w:val="20"/>
              </w:rPr>
              <w:t xml:space="preserve">MIT procurement / IT</w:t>
            </w:r>
          </w:p>
        </w:tc>
        <w:tc>
          <w:tcPr>
            <w:tcW w:type="dxa" w:w="62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Procurement and delivery of the MIT-Furnished Equipment under D5, and of the hosted inference account under D1.</w:t>
            </w:r>
          </w:p>
        </w:tc>
      </w:tr>
    </w:tbl>
    <w:p>
      <w:pPr>
        <w:pageBreakBefore/>
      </w:pPr>
      <w:r>
        <w:t xml:space="preserve"/>
      </w:r>
    </w:p>
    <w:p>
      <w:pPr>
        <w:spacing w:after="80" w:before="320"/>
      </w:pPr>
      <w:r>
        <w:rPr>
          <w:rFonts w:ascii="Century Gothic" w:cs="Century Gothic" w:eastAsia="Century Gothic" w:hAnsi="Century Gothic"/>
          <w:b/>
          <w:bCs/>
          <w:i w:val="false"/>
          <w:iCs w:val="false"/>
          <w:color w:val="595959"/>
          <w:sz w:val="28"/>
          <w:szCs w:val="28"/>
        </w:rPr>
        <w:t xml:space="preserve">ESTIMATED COST</w:t>
      </w:r>
    </w:p>
    <w:tbl>
      <w:tblPr>
        <w:tblW w:type="dxa" w:w="1071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6710"/>
        <w:gridCol w:w="2000"/>
      </w:tblGrid>
      <w:tr>
        <w:trPr>
          <w:tblHeader/>
        </w:trPr>
        <w:tc>
          <w:tcPr>
            <w:tcW w:type="dxa" w:w="2000"/>
            <w:shd w:fill="222B35" w:color="auto" w:val="clear"/>
            <w:tcMar>
              <w:top w:type="dxa" w:w="80"/>
              <w:left w:type="dxa" w:w="120"/>
              <w:bottom w:type="dxa" w:w="80"/>
              <w:right w:type="dxa" w:w="120"/>
            </w:tcMar>
            <w:vAlign w:val="center"/>
          </w:tcPr>
          <w:p>
            <w:pPr>
              <w:spacing w:after="20" w:before="20"/>
              <w:jc w:val="left"/>
            </w:pPr>
            <w:r>
              <w:rPr>
                <w:rFonts w:ascii="Century Gothic" w:cs="Century Gothic" w:eastAsia="Century Gothic" w:hAnsi="Century Gothic"/>
                <w:b/>
                <w:bCs/>
                <w:i w:val="false"/>
                <w:iCs w:val="false"/>
                <w:color w:val="FFFFFF"/>
                <w:sz w:val="20"/>
                <w:szCs w:val="20"/>
              </w:rPr>
              <w:t xml:space="preserve">EXPENSE</w:t>
            </w:r>
          </w:p>
        </w:tc>
        <w:tc>
          <w:tcPr>
            <w:tcW w:type="dxa" w:w="6710"/>
            <w:shd w:fill="222B35" w:color="auto" w:val="clear"/>
            <w:tcMar>
              <w:top w:type="dxa" w:w="80"/>
              <w:left w:type="dxa" w:w="120"/>
              <w:bottom w:type="dxa" w:w="80"/>
              <w:right w:type="dxa" w:w="120"/>
            </w:tcMar>
            <w:vAlign w:val="center"/>
          </w:tcPr>
          <w:p>
            <w:pPr>
              <w:spacing w:after="20" w:before="20"/>
              <w:jc w:val="left"/>
            </w:pPr>
            <w:r>
              <w:rPr>
                <w:rFonts w:ascii="Century Gothic" w:cs="Century Gothic" w:eastAsia="Century Gothic" w:hAnsi="Century Gothic"/>
                <w:b/>
                <w:bCs/>
                <w:i w:val="false"/>
                <w:iCs w:val="false"/>
                <w:color w:val="FFFFFF"/>
                <w:sz w:val="20"/>
                <w:szCs w:val="20"/>
              </w:rPr>
              <w:t xml:space="preserve">DESCRIPTION</w:t>
            </w:r>
          </w:p>
        </w:tc>
        <w:tc>
          <w:tcPr>
            <w:tcW w:type="dxa" w:w="2000"/>
            <w:shd w:fill="222B35" w:color="auto" w:val="clear"/>
            <w:tcMar>
              <w:top w:type="dxa" w:w="80"/>
              <w:left w:type="dxa" w:w="120"/>
              <w:bottom w:type="dxa" w:w="80"/>
              <w:right w:type="dxa" w:w="120"/>
            </w:tcMar>
            <w:vAlign w:val="center"/>
          </w:tcPr>
          <w:p>
            <w:pPr>
              <w:spacing w:after="20" w:before="20"/>
              <w:jc w:val="right"/>
            </w:pPr>
            <w:r>
              <w:rPr>
                <w:rFonts w:ascii="Century Gothic" w:cs="Century Gothic" w:eastAsia="Century Gothic" w:hAnsi="Century Gothic"/>
                <w:b/>
                <w:bCs/>
                <w:i w:val="false"/>
                <w:iCs w:val="false"/>
                <w:color w:val="FFFFFF"/>
                <w:sz w:val="20"/>
                <w:szCs w:val="20"/>
              </w:rPr>
              <w:t xml:space="preserve">COST</w:t>
            </w:r>
          </w:p>
        </w:tc>
      </w:tr>
      <w:tr>
        <w:tc>
          <w:tcPr>
            <w:tcW w:type="dxa" w:w="200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INTERNAL LABOR</w:t>
            </w:r>
          </w:p>
        </w:tc>
        <w:tc>
          <w:tcPr>
            <w:tcW w:type="dxa" w:w="67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Agentic Consulting personnel — all Services across Gates G0–G7. Fixed fee for a delivered and accepted result (Article 5, Schedule B.1).</w:t>
            </w:r>
          </w:p>
        </w:tc>
        <w:tc>
          <w:tcPr>
            <w:tcW w:type="dxa" w:w="2000"/>
            <w:tcMar>
              <w:top w:type="dxa" w:w="80"/>
              <w:left w:type="dxa" w:w="120"/>
              <w:bottom w:type="dxa" w:w="80"/>
              <w:right w:type="dxa" w:w="120"/>
            </w:tcMar>
            <w:vAlign w:val="center"/>
          </w:tcPr>
          <w:p>
            <w:pPr>
              <w:spacing w:after="20" w:before="20"/>
              <w:jc w:val="right"/>
            </w:pPr>
            <w:r>
              <w:rPr>
                <w:rFonts w:ascii="Century Gothic" w:cs="Century Gothic" w:eastAsia="Century Gothic" w:hAnsi="Century Gothic"/>
                <w:b w:val="false"/>
                <w:bCs w:val="false"/>
                <w:i w:val="false"/>
                <w:iCs w:val="false"/>
                <w:color w:val="000000"/>
                <w:sz w:val="20"/>
                <w:szCs w:val="20"/>
              </w:rPr>
              <w:t xml:space="preserve">$135,000</w:t>
            </w:r>
          </w:p>
        </w:tc>
      </w:tr>
      <w:tr>
        <w:tc>
          <w:tcPr>
            <w:tcW w:type="dxa" w:w="20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EXTERNAL LABOR</w:t>
            </w:r>
          </w:p>
        </w:tc>
        <w:tc>
          <w:tcPr>
            <w:tcW w:type="dxa" w:w="671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None. No subcontractors are engaged; Services are performed by Consultant personnel (Section 2.5).</w:t>
            </w:r>
          </w:p>
        </w:tc>
        <w:tc>
          <w:tcPr>
            <w:tcW w:type="dxa" w:w="2000"/>
            <w:shd w:fill="F2F2F2" w:color="auto" w:val="clear"/>
            <w:tcMar>
              <w:top w:type="dxa" w:w="80"/>
              <w:left w:type="dxa" w:w="120"/>
              <w:bottom w:type="dxa" w:w="80"/>
              <w:right w:type="dxa" w:w="120"/>
            </w:tcMar>
            <w:vAlign w:val="center"/>
          </w:tcPr>
          <w:p>
            <w:pPr>
              <w:spacing w:after="20" w:before="20"/>
              <w:jc w:val="right"/>
            </w:pPr>
            <w:r>
              <w:rPr>
                <w:rFonts w:ascii="Century Gothic" w:cs="Century Gothic" w:eastAsia="Century Gothic" w:hAnsi="Century Gothic"/>
                <w:b w:val="false"/>
                <w:bCs w:val="false"/>
                <w:i w:val="false"/>
                <w:iCs w:val="false"/>
                <w:color w:val="000000"/>
                <w:sz w:val="20"/>
                <w:szCs w:val="20"/>
              </w:rPr>
              <w:t xml:space="preserve">$0</w:t>
            </w:r>
          </w:p>
        </w:tc>
      </w:tr>
      <w:tr>
        <w:tc>
          <w:tcPr>
            <w:tcW w:type="dxa" w:w="200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MATERIALS</w:t>
            </w:r>
          </w:p>
        </w:tc>
        <w:tc>
          <w:tcPr>
            <w:tcW w:type="dxa" w:w="67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MIT-Furnished Equipment — Apple Silicon hardware for the edge-local profile. MIT procures it from a source of its own choosing, at its own cost (Section 7.6). Not priced here and not reimbursable.</w:t>
            </w:r>
          </w:p>
        </w:tc>
        <w:tc>
          <w:tcPr>
            <w:tcW w:type="dxa" w:w="2000"/>
            <w:tcMar>
              <w:top w:type="dxa" w:w="80"/>
              <w:left w:type="dxa" w:w="120"/>
              <w:bottom w:type="dxa" w:w="80"/>
              <w:right w:type="dxa" w:w="120"/>
            </w:tcMar>
            <w:vAlign w:val="center"/>
          </w:tcPr>
          <w:p>
            <w:pPr>
              <w:spacing w:after="20" w:before="20"/>
              <w:jc w:val="right"/>
            </w:pPr>
            <w:r>
              <w:rPr>
                <w:rFonts w:ascii="Century Gothic" w:cs="Century Gothic" w:eastAsia="Century Gothic" w:hAnsi="Century Gothic"/>
                <w:b w:val="false"/>
                <w:bCs w:val="false"/>
                <w:i w:val="false"/>
                <w:iCs w:val="false"/>
                <w:color w:val="000000"/>
                <w:sz w:val="20"/>
                <w:szCs w:val="20"/>
              </w:rPr>
              <w:t xml:space="preserve">$0</w:t>
            </w:r>
          </w:p>
        </w:tc>
      </w:tr>
      <w:tr>
        <w:tc>
          <w:tcPr>
            <w:tcW w:type="dxa" w:w="200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SERVICES</w:t>
            </w:r>
          </w:p>
        </w:tc>
        <w:tc>
          <w:tcPr>
            <w:tcW w:type="dxa" w:w="6710"/>
            <w:shd w:fill="F2F2F2"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Hosted inference (tokens) for development, testing, stress testing, and the Gate G5 pilot. Borne 100% by MIT and paid directly to the provider; never invoiced by Consultant (Article 7, Schedule D). Estimated $1,500 – $2,900, capped at $3,500.</w:t>
            </w:r>
          </w:p>
        </w:tc>
        <w:tc>
          <w:tcPr>
            <w:tcW w:type="dxa" w:w="2000"/>
            <w:shd w:fill="F2F2F2" w:color="auto" w:val="clear"/>
            <w:tcMar>
              <w:top w:type="dxa" w:w="80"/>
              <w:left w:type="dxa" w:w="120"/>
              <w:bottom w:type="dxa" w:w="80"/>
              <w:right w:type="dxa" w:w="120"/>
            </w:tcMar>
            <w:vAlign w:val="center"/>
          </w:tcPr>
          <w:p>
            <w:pPr>
              <w:spacing w:after="20" w:before="20"/>
              <w:jc w:val="right"/>
            </w:pPr>
            <w:r>
              <w:rPr>
                <w:rFonts w:ascii="Century Gothic" w:cs="Century Gothic" w:eastAsia="Century Gothic" w:hAnsi="Century Gothic"/>
                <w:b w:val="false"/>
                <w:bCs w:val="false"/>
                <w:i w:val="false"/>
                <w:iCs w:val="false"/>
                <w:color w:val="000000"/>
                <w:sz w:val="20"/>
                <w:szCs w:val="20"/>
              </w:rPr>
              <w:t xml:space="preserve">$0</w:t>
            </w:r>
          </w:p>
        </w:tc>
      </w:tr>
      <w:tr>
        <w:tc>
          <w:tcPr>
            <w:tcW w:type="dxa" w:w="200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OTHER</w:t>
            </w:r>
          </w:p>
        </w:tc>
        <w:tc>
          <w:tcPr>
            <w:tcW w:type="dxa" w:w="67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Travel and expenses. None budgeted — Consultant is in Andover, MA and local attendance is included in the Fixed Fee (Section 6.1).</w:t>
            </w:r>
          </w:p>
        </w:tc>
        <w:tc>
          <w:tcPr>
            <w:tcW w:type="dxa" w:w="2000"/>
            <w:tcMar>
              <w:top w:type="dxa" w:w="80"/>
              <w:left w:type="dxa" w:w="120"/>
              <w:bottom w:type="dxa" w:w="80"/>
              <w:right w:type="dxa" w:w="120"/>
            </w:tcMar>
            <w:vAlign w:val="center"/>
          </w:tcPr>
          <w:p>
            <w:pPr>
              <w:spacing w:after="20" w:before="20"/>
              <w:jc w:val="right"/>
            </w:pPr>
            <w:r>
              <w:rPr>
                <w:rFonts w:ascii="Century Gothic" w:cs="Century Gothic" w:eastAsia="Century Gothic" w:hAnsi="Century Gothic"/>
                <w:b w:val="false"/>
                <w:bCs w:val="false"/>
                <w:i w:val="false"/>
                <w:iCs w:val="false"/>
                <w:color w:val="000000"/>
                <w:sz w:val="20"/>
                <w:szCs w:val="20"/>
              </w:rPr>
              <w:t xml:space="preserve">$0</w:t>
            </w:r>
          </w:p>
        </w:tc>
      </w:tr>
      <w:tr>
        <w:tc>
          <w:tcPr>
            <w:tcW w:type="dxa" w:w="2000"/>
            <w:shd w:fill="222B35"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FFFFFF"/>
                <w:sz w:val="20"/>
                <w:szCs w:val="20"/>
              </w:rPr>
              <w:t xml:space="preserve">TOTAL</w:t>
            </w:r>
          </w:p>
        </w:tc>
        <w:tc>
          <w:tcPr>
            <w:tcW w:type="dxa" w:w="6710"/>
            <w:shd w:fill="222B35"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FFFFFF"/>
                <w:sz w:val="20"/>
                <w:szCs w:val="20"/>
              </w:rPr>
              <w:t xml:space="preserve">Fixed Fee payable to Agentic Consulting — the whole of what Consultant invoices under this Statement of Work</w:t>
            </w:r>
          </w:p>
        </w:tc>
        <w:tc>
          <w:tcPr>
            <w:tcW w:type="dxa" w:w="2000"/>
            <w:shd w:fill="222B35" w:color="auto" w:val="clear"/>
            <w:tcMar>
              <w:top w:type="dxa" w:w="80"/>
              <w:left w:type="dxa" w:w="120"/>
              <w:bottom w:type="dxa" w:w="80"/>
              <w:right w:type="dxa" w:w="120"/>
            </w:tcMar>
            <w:vAlign w:val="center"/>
          </w:tcPr>
          <w:p>
            <w:pPr>
              <w:spacing w:after="20" w:before="20"/>
              <w:jc w:val="right"/>
            </w:pPr>
            <w:r>
              <w:rPr>
                <w:rFonts w:ascii="Century Gothic" w:cs="Century Gothic" w:eastAsia="Century Gothic" w:hAnsi="Century Gothic"/>
                <w:b/>
                <w:bCs/>
                <w:i w:val="false"/>
                <w:iCs w:val="false"/>
                <w:color w:val="FFFFFF"/>
                <w:sz w:val="24"/>
                <w:szCs w:val="24"/>
              </w:rPr>
              <w:t xml:space="preserve">$135,000</w:t>
            </w:r>
          </w:p>
        </w:tc>
      </w:tr>
    </w:tbl>
    <w:p>
      <w:pPr>
        <w:spacing w:after="20" w:before="100"/>
      </w:pPr>
      <w:r>
        <w:rPr>
          <w:rFonts w:ascii="Century Gothic" w:cs="Century Gothic" w:eastAsia="Century Gothic" w:hAnsi="Century Gothic"/>
          <w:b w:val="false"/>
          <w:bCs w:val="false"/>
          <w:i/>
          <w:iCs/>
          <w:color w:val="595959"/>
          <w:sz w:val="18"/>
          <w:szCs w:val="18"/>
        </w:rPr>
        <w:t xml:space="preserve">TOTAL is the Fixed Fee under Article 5. MIT’s total out-of-pocket is the Fixed Fee, plus hosted inference at cost (estimated $1,500 – $2,900, not to exceed $3,500 without MIT’s written approval), plus the MIT-Furnished Equipment purchased by MIT from its own source. Consultant enforces a per-run cost ceiling, reports spend monthly, and notifies MIT before reaching 80% of the cap. The Fixed Fee is a package price for a delivered result; it is not derived from, and not adjustable by reference to, hours worked or method of production.</w:t>
      </w:r>
    </w:p>
    <w:p>
      <w:pPr>
        <w:spacing w:after="80" w:before="320"/>
      </w:pPr>
      <w:r>
        <w:rPr>
          <w:rFonts w:ascii="Century Gothic" w:cs="Century Gothic" w:eastAsia="Century Gothic" w:hAnsi="Century Gothic"/>
          <w:b/>
          <w:bCs/>
          <w:i w:val="false"/>
          <w:iCs w:val="false"/>
          <w:color w:val="595959"/>
          <w:sz w:val="28"/>
          <w:szCs w:val="28"/>
        </w:rPr>
        <w:t xml:space="preserve">PAYMENT TERMS &amp; CONDITIONS</w:t>
      </w:r>
    </w:p>
    <w:tbl>
      <w:tblPr>
        <w:tblW w:type="dxa" w:w="10710"/>
        <w:tblBorders>
          <w:top w:val="single" w:color="BFBFBF" w:sz="4"/>
          <w:left w:val="single" w:color="BFBFBF" w:sz="4"/>
          <w:bottom w:val="single" w:color="BFBFBF" w:sz="4"/>
          <w:right w:val="single" w:color="BFBFBF" w:sz="4"/>
          <w:insideH w:val="single" w:color="BFBFBF" w:sz="4"/>
          <w:insideV w:val="single" w:color="BFBFBF" w:sz="4"/>
        </w:tblBorders>
      </w:tblPr>
      <w:tblGrid>
        <w:gridCol w:w="10710"/>
      </w:tblGrid>
      <w:tr>
        <w:tc>
          <w:tcPr>
            <w:tcW w:type="dxa" w:w="1071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Fixed fee of US $135,000, invoiced in tranches on acceptance of each Gate (Section 5.1, Schedule B.2):</w:t>
            </w:r>
          </w:p>
          <w:p>
            <w:pPr>
              <w:spacing w:after="20" w:before="20"/>
            </w:pPr>
            <w:r>
              <w:rPr>
                <w:rFonts w:ascii="Century Gothic" w:cs="Century Gothic" w:eastAsia="Century Gothic" w:hAnsi="Century Gothic"/>
                <w:b w:val="false"/>
                <w:bCs w:val="false"/>
                <w:i w:val="false"/>
                <w:iCs w:val="false"/>
                <w:color w:val="000000"/>
                <w:sz w:val="20"/>
                <w:szCs w:val="20"/>
              </w:rPr>
              <w:t xml:space="preserve">G0 $10,800 · G1 $13,500 · G2 $21,600 · G3 $21,600 · G4 $18,900 · G5 $18,900 · G6 $16,200 · G7 $13,500</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Net 30. MIT pays undisputed invoices within thirty (30) days of receipt. Amounts properly disputed in writing within fifteen (15) days may be withheld pending resolution; all other amounts are paid.</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10% retention. The final tranche of $13,500 is payable only on Final Acceptance at Gate G7, which requires a complete, unassisted end-to-end run performed by MIT personnel on MIT hardware, driven entirely through the console and without use of a command line.</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Gate Readiness Certificate. Where Consultant has completed all work within its control but a Gate cannot be submitted because an MIT dependency (D1–D6) is outstanding, Consultant may deliver a Certificate evidencing completion. If the dependency remains outstanding thirty (30) days later, Consultant may invoice fifty percent (50%) of that Gate’s tranche, with the balance payable on acceptance (Section 5.7).</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Late payment. Undisputed amounts unpaid after forty-five (45) days accrue interest at the lesser of 1.0% per month or the maximum rate permitted by Massachusetts law.</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Taxes. Fees are exclusive of sales, use, and similar taxes. MIT to provide its tax-exemption certificate where applicable.</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Method. Bank transfer in United States Dollars to an account nominated by Consultant.</w:t>
            </w:r>
          </w:p>
          <w:p>
            <w:pPr>
              <w:pStyle w:val="ListParagraph"/>
              <w:numPr>
                <w:ilvl w:val="0"/>
                <w:numId w:val="2"/>
              </w:numPr>
              <w:spacing w:after="20" w:before="20"/>
            </w:pPr>
            <w:r>
              <w:rPr>
                <w:rFonts w:ascii="Century Gothic" w:cs="Century Gothic" w:eastAsia="Century Gothic" w:hAnsi="Century Gothic"/>
                <w:b w:val="false"/>
                <w:bCs w:val="false"/>
                <w:i w:val="false"/>
                <w:iCs w:val="false"/>
                <w:color w:val="000000"/>
                <w:sz w:val="20"/>
                <w:szCs w:val="20"/>
              </w:rPr>
              <w:t xml:space="preserve">Work outside this Statement of Work — change orders, post-acceptance support, model-version migration, additional sites, and additional training — is priced at the Schedule B.4 rates and is not included in the Fixed Fee.</w:t>
            </w:r>
          </w:p>
        </w:tc>
      </w:tr>
    </w:tbl>
    <w:p>
      <w:pPr>
        <w:pageBreakBefore/>
      </w:pPr>
      <w:r>
        <w:t xml:space="preserve"/>
      </w:r>
    </w:p>
    <w:p>
      <w:pPr>
        <w:spacing w:after="80" w:before="320"/>
      </w:pPr>
      <w:r>
        <w:rPr>
          <w:rFonts w:ascii="Century Gothic" w:cs="Century Gothic" w:eastAsia="Century Gothic" w:hAnsi="Century Gothic"/>
          <w:b/>
          <w:bCs/>
          <w:i w:val="false"/>
          <w:iCs w:val="false"/>
          <w:color w:val="595959"/>
          <w:sz w:val="28"/>
          <w:szCs w:val="28"/>
        </w:rPr>
        <w:t xml:space="preserve">APPROVAL</w:t>
      </w:r>
    </w:p>
    <w:tbl>
      <w:tblPr>
        <w:tblW w:type="dxa" w:w="1071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310"/>
        <w:gridCol w:w="1900"/>
        <w:gridCol w:w="1900"/>
      </w:tblGrid>
      <w:tr>
        <w:tc>
          <w:tcPr>
            <w:tcW w:type="dxa" w:w="26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PROJECT OWNER (MIT)</w:t>
            </w:r>
          </w:p>
        </w:tc>
        <w:tc>
          <w:tcPr>
            <w:tcW w:type="dxa" w:w="4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[Name and title of MIT authorized signatory]</w:t>
            </w:r>
          </w:p>
        </w:tc>
        <w:tc>
          <w:tcPr>
            <w:tcW w:type="dxa" w:w="19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595959"/>
                <w:sz w:val="16"/>
                <w:szCs w:val="16"/>
              </w:rPr>
              <w:t xml:space="preserve">SIGNATURE</w:t>
            </w:r>
          </w:p>
          <w:p>
            <w:pPr>
              <w:spacing w:after="20" w:before="20"/>
            </w:pPr>
            <w:r>
              <w:rPr>
                <w:rFonts w:ascii="Century Gothic" w:cs="Century Gothic" w:eastAsia="Century Gothic" w:hAnsi="Century Gothic"/>
                <w:b w:val="false"/>
                <w:bCs w:val="false"/>
                <w:i w:val="false"/>
                <w:iCs w:val="false"/>
                <w:color w:val="000000"/>
                <w:sz w:val="20"/>
                <w:szCs w:val="20"/>
              </w:rPr>
              <w:t xml:space="preserve"/>
            </w:r>
          </w:p>
        </w:tc>
        <w:tc>
          <w:tcPr>
            <w:tcW w:type="dxa" w:w="19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595959"/>
                <w:sz w:val="16"/>
                <w:szCs w:val="16"/>
              </w:rPr>
              <w:t xml:space="preserve">DATE</w:t>
            </w:r>
          </w:p>
          <w:p>
            <w:pPr>
              <w:spacing w:after="20" w:before="20"/>
            </w:pPr>
            <w:r>
              <w:rPr>
                <w:rFonts w:ascii="Century Gothic" w:cs="Century Gothic" w:eastAsia="Century Gothic" w:hAnsi="Century Gothic"/>
                <w:b w:val="false"/>
                <w:bCs w:val="false"/>
                <w:i w:val="false"/>
                <w:iCs w:val="false"/>
                <w:color w:val="000000"/>
                <w:sz w:val="20"/>
                <w:szCs w:val="20"/>
              </w:rPr>
              <w:t xml:space="preserve"/>
            </w:r>
          </w:p>
        </w:tc>
      </w:tr>
      <w:tr>
        <w:tc>
          <w:tcPr>
            <w:tcW w:type="dxa" w:w="2600"/>
            <w:shd w:fill="D6DCE4" w:color="auto" w:val="clear"/>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595959"/>
                <w:sz w:val="20"/>
                <w:szCs w:val="20"/>
              </w:rPr>
              <w:t xml:space="preserve">PROJECT MANAGER</w:t>
            </w:r>
          </w:p>
        </w:tc>
        <w:tc>
          <w:tcPr>
            <w:tcW w:type="dxa" w:w="431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000000"/>
                <w:sz w:val="20"/>
                <w:szCs w:val="20"/>
              </w:rPr>
              <w:t xml:space="preserve">Emmanuel (Manu) Cohen-Yashar — Principal, Agentic Consulting</w:t>
            </w:r>
          </w:p>
        </w:tc>
        <w:tc>
          <w:tcPr>
            <w:tcW w:type="dxa" w:w="19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595959"/>
                <w:sz w:val="16"/>
                <w:szCs w:val="16"/>
              </w:rPr>
              <w:t xml:space="preserve">SIGNATURE</w:t>
            </w:r>
          </w:p>
          <w:p>
            <w:pPr>
              <w:spacing w:after="20" w:before="20"/>
            </w:pPr>
            <w:r>
              <w:rPr>
                <w:rFonts w:ascii="Century Gothic" w:cs="Century Gothic" w:eastAsia="Century Gothic" w:hAnsi="Century Gothic"/>
                <w:b w:val="false"/>
                <w:bCs w:val="false"/>
                <w:i w:val="false"/>
                <w:iCs w:val="false"/>
                <w:color w:val="000000"/>
                <w:sz w:val="20"/>
                <w:szCs w:val="20"/>
              </w:rPr>
              <w:t xml:space="preserve"/>
            </w:r>
          </w:p>
        </w:tc>
        <w:tc>
          <w:tcPr>
            <w:tcW w:type="dxa" w:w="1900"/>
            <w:tcMar>
              <w:top w:type="dxa" w:w="80"/>
              <w:left w:type="dxa" w:w="120"/>
              <w:bottom w:type="dxa" w:w="80"/>
              <w:right w:type="dxa" w:w="120"/>
            </w:tcMar>
            <w:vAlign w:val="center"/>
          </w:tcPr>
          <w:p>
            <w:pPr>
              <w:spacing w:after="20" w:before="20"/>
            </w:pPr>
            <w:r>
              <w:rPr>
                <w:rFonts w:ascii="Century Gothic" w:cs="Century Gothic" w:eastAsia="Century Gothic" w:hAnsi="Century Gothic"/>
                <w:b w:val="false"/>
                <w:bCs w:val="false"/>
                <w:i w:val="false"/>
                <w:iCs w:val="false"/>
                <w:color w:val="595959"/>
                <w:sz w:val="16"/>
                <w:szCs w:val="16"/>
              </w:rPr>
              <w:t xml:space="preserve">DATE</w:t>
            </w:r>
          </w:p>
          <w:p>
            <w:pPr>
              <w:spacing w:after="20" w:before="20"/>
            </w:pPr>
            <w:r>
              <w:rPr>
                <w:rFonts w:ascii="Century Gothic" w:cs="Century Gothic" w:eastAsia="Century Gothic" w:hAnsi="Century Gothic"/>
                <w:b w:val="false"/>
                <w:bCs w:val="false"/>
                <w:i w:val="false"/>
                <w:iCs w:val="false"/>
                <w:color w:val="000000"/>
                <w:sz w:val="20"/>
                <w:szCs w:val="20"/>
              </w:rPr>
              <w:t xml:space="preserve"/>
            </w:r>
          </w:p>
        </w:tc>
      </w:tr>
    </w:tbl>
    <w:p>
      <w:pPr>
        <w:spacing w:after="80" w:before="320"/>
      </w:pPr>
      <w:r>
        <w:rPr>
          <w:rFonts w:ascii="Century Gothic" w:cs="Century Gothic" w:eastAsia="Century Gothic" w:hAnsi="Century Gothic"/>
          <w:b/>
          <w:bCs/>
          <w:i w:val="false"/>
          <w:iCs w:val="false"/>
          <w:color w:val="595959"/>
          <w:sz w:val="28"/>
          <w:szCs w:val="28"/>
        </w:rPr>
        <w:t xml:space="preserve">COMMENTS &amp; ASSUMPTIONS</w:t>
      </w:r>
    </w:p>
    <w:tbl>
      <w:tblPr>
        <w:tblW w:type="dxa" w:w="10710"/>
        <w:tblBorders>
          <w:top w:val="single" w:color="BFBFBF" w:sz="4"/>
          <w:left w:val="single" w:color="BFBFBF" w:sz="4"/>
          <w:bottom w:val="single" w:color="BFBFBF" w:sz="4"/>
          <w:right w:val="single" w:color="BFBFBF" w:sz="4"/>
          <w:insideH w:val="single" w:color="BFBFBF" w:sz="4"/>
          <w:insideV w:val="single" w:color="BFBFBF" w:sz="4"/>
        </w:tblBorders>
      </w:tblPr>
      <w:tblGrid>
        <w:gridCol w:w="10710"/>
      </w:tblGrid>
      <w:tr>
        <w:tc>
          <w:tcPr>
            <w:tcW w:type="dxa" w:w="10710"/>
            <w:tcMar>
              <w:top w:type="dxa" w:w="80"/>
              <w:left w:type="dxa" w:w="120"/>
              <w:bottom w:type="dxa" w:w="80"/>
              <w:right w:type="dxa" w:w="120"/>
            </w:tcMar>
            <w:vAlign w:val="center"/>
          </w:tcPr>
          <w:p>
            <w:pPr>
              <w:spacing w:after="20" w:before="20"/>
            </w:pPr>
            <w:r>
              <w:rPr>
                <w:rFonts w:ascii="Century Gothic" w:cs="Century Gothic" w:eastAsia="Century Gothic" w:hAnsi="Century Gothic"/>
                <w:b/>
                <w:bCs/>
                <w:i w:val="false"/>
                <w:iCs w:val="false"/>
                <w:color w:val="000000"/>
                <w:sz w:val="20"/>
                <w:szCs w:val="20"/>
              </w:rPr>
              <w:t xml:space="preserve">1.  Precedence.</w:t>
            </w:r>
          </w:p>
          <w:p>
            <w:pPr>
              <w:spacing w:after="20" w:before="20"/>
            </w:pPr>
            <w:r>
              <w:rPr>
                <w:rFonts w:ascii="Century Gothic" w:cs="Century Gothic" w:eastAsia="Century Gothic" w:hAnsi="Century Gothic"/>
                <w:b w:val="false"/>
                <w:bCs w:val="false"/>
                <w:i w:val="false"/>
                <w:iCs w:val="false"/>
                <w:color w:val="000000"/>
                <w:sz w:val="20"/>
                <w:szCs w:val="20"/>
              </w:rPr>
              <w:t xml:space="preserve">This Statement of Work accompanies and is subordinate to the Software Development and License Agreement between Agentic Consulting and the Massachusetts Institute of Technology (the "Agreement"). It restates Schedules A, B, and D in summary form for administrative and procurement purposes. In the event of any conflict or ambiguity, the Agreement controls. Nothing in this Statement of Work adds, removes, or varies any Deliverable, Acceptance Criterion, dependency, or fee, and no term here is a representation independent of the Agreement.</w:t>
            </w:r>
          </w:p>
          <w:p>
            <w:pPr>
              <w:spacing w:after="20" w:before="20"/>
            </w:pPr>
            <w:r>
              <w:rPr>
                <w:rFonts w:ascii="Century Gothic" w:cs="Century Gothic" w:eastAsia="Century Gothic" w:hAnsi="Century Gothic"/>
                <w:b/>
                <w:bCs/>
                <w:i w:val="false"/>
                <w:iCs w:val="false"/>
                <w:color w:val="000000"/>
                <w:sz w:val="20"/>
                <w:szCs w:val="20"/>
              </w:rPr>
              <w:t xml:space="preserve">2.  Assumed cohort scale.</w:t>
            </w:r>
          </w:p>
          <w:p>
            <w:pPr>
              <w:spacing w:after="20" w:before="20"/>
            </w:pPr>
            <w:r>
              <w:rPr>
                <w:rFonts w:ascii="Century Gothic" w:cs="Century Gothic" w:eastAsia="Century Gothic" w:hAnsi="Century Gothic"/>
                <w:b w:val="false"/>
                <w:bCs w:val="false"/>
                <w:i w:val="false"/>
                <w:iCs w:val="false"/>
                <w:color w:val="000000"/>
                <w:sz w:val="20"/>
                <w:szCs w:val="20"/>
              </w:rPr>
              <w:t xml:space="preserve">All acceptance tests assume 350 submissions of approximately four pages each, predominantly handwritten and scanned, mixed format (open questions plus multiple-choice items). Grading quality, transcription fidelity, and agreement statistics are measured against real teacher-supplied submissions; throughput, memory, resumability, and thermal sustain are measured against a scaled corpus assembled by Consultant. Every Gate Report states which corpus produced each figure.</w:t>
            </w:r>
          </w:p>
          <w:p>
            <w:pPr>
              <w:spacing w:after="20" w:before="20"/>
            </w:pPr>
            <w:r>
              <w:rPr>
                <w:rFonts w:ascii="Century Gothic" w:cs="Century Gothic" w:eastAsia="Century Gothic" w:hAnsi="Century Gothic"/>
                <w:b/>
                <w:bCs/>
                <w:i w:val="false"/>
                <w:iCs w:val="false"/>
                <w:color w:val="000000"/>
                <w:sz w:val="20"/>
                <w:szCs w:val="20"/>
              </w:rPr>
              <w:t xml:space="preserve">3.  Intellectual property.</w:t>
            </w:r>
          </w:p>
          <w:p>
            <w:pPr>
              <w:spacing w:after="20" w:before="20"/>
            </w:pPr>
            <w:r>
              <w:rPr>
                <w:rFonts w:ascii="Century Gothic" w:cs="Century Gothic" w:eastAsia="Century Gothic" w:hAnsi="Century Gothic"/>
                <w:b w:val="false"/>
                <w:bCs w:val="false"/>
                <w:i w:val="false"/>
                <w:iCs w:val="false"/>
                <w:color w:val="000000"/>
                <w:sz w:val="20"/>
                <w:szCs w:val="20"/>
              </w:rPr>
              <w:t xml:space="preserve">Consultant retains sole ownership of the Platform and all Foreground IP; the Platform is not a work made for hire. MIT’s consideration purchases the Services and the perpetual license described above, not title. The Fixed Fee is a below-market program price, and the fee and the Article 8 allocation are a single bargain — neither is to be revisited without the other.</w:t>
            </w:r>
          </w:p>
          <w:p>
            <w:pPr>
              <w:spacing w:after="20" w:before="20"/>
            </w:pPr>
            <w:r>
              <w:rPr>
                <w:rFonts w:ascii="Century Gothic" w:cs="Century Gothic" w:eastAsia="Century Gothic" w:hAnsi="Century Gothic"/>
                <w:b/>
                <w:bCs/>
                <w:i w:val="false"/>
                <w:iCs w:val="false"/>
                <w:color w:val="000000"/>
                <w:sz w:val="20"/>
                <w:szCs w:val="20"/>
              </w:rPr>
              <w:t xml:space="preserve">4.  Schedule.</w:t>
            </w:r>
          </w:p>
          <w:p>
            <w:pPr>
              <w:spacing w:after="20" w:before="20"/>
            </w:pPr>
            <w:r>
              <w:rPr>
                <w:rFonts w:ascii="Century Gothic" w:cs="Century Gothic" w:eastAsia="Century Gothic" w:hAnsi="Century Gothic"/>
                <w:b w:val="false"/>
                <w:bCs w:val="false"/>
                <w:i w:val="false"/>
                <w:iCs w:val="false"/>
                <w:color w:val="000000"/>
                <w:sz w:val="20"/>
                <w:szCs w:val="20"/>
              </w:rPr>
              <w:t xml:space="preserve">Gate target dates are planning estimates, not deadlines, and time is not of the essence. Delay attributable to any MIT dependency, site access, or coordination window extends the affected schedule day-for-day. The parties’ sole schedule remedy is the twelve (12) month long-stop date in Section 3.4.</w:t>
            </w:r>
          </w:p>
          <w:p>
            <w:pPr>
              <w:spacing w:after="20" w:before="20"/>
            </w:pPr>
            <w:r>
              <w:rPr>
                <w:rFonts w:ascii="Century Gothic" w:cs="Century Gothic" w:eastAsia="Century Gothic" w:hAnsi="Century Gothic"/>
                <w:b/>
                <w:bCs/>
                <w:i w:val="false"/>
                <w:iCs w:val="false"/>
                <w:color w:val="000000"/>
                <w:sz w:val="20"/>
                <w:szCs w:val="20"/>
              </w:rPr>
              <w:t xml:space="preserve">5.  Feasibility risk.</w:t>
            </w:r>
          </w:p>
          <w:p>
            <w:pPr>
              <w:spacing w:after="20" w:before="20"/>
            </w:pPr>
            <w:r>
              <w:rPr>
                <w:rFonts w:ascii="Century Gothic" w:cs="Century Gothic" w:eastAsia="Century Gothic" w:hAnsi="Century Gothic"/>
                <w:b w:val="false"/>
                <w:bCs w:val="false"/>
                <w:i w:val="false"/>
                <w:iCs w:val="false"/>
                <w:color w:val="000000"/>
                <w:sz w:val="20"/>
                <w:szCs w:val="20"/>
              </w:rPr>
              <w:t xml:space="preserve">Gates G5 and G6 are feasibility gates. A failed measurement at either is a finding of the engagement rather than a breach, and is handled by revising the criterion, the hardware profile, the batch window, or the panel configuration by Change Order, or by termination with Consultant paid for accepted Gates and pro-rata for work in progress.</w:t>
            </w:r>
          </w:p>
          <w:p>
            <w:pPr>
              <w:spacing w:after="20" w:before="20"/>
            </w:pPr>
            <w:r>
              <w:rPr>
                <w:rFonts w:ascii="Century Gothic" w:cs="Century Gothic" w:eastAsia="Century Gothic" w:hAnsi="Century Gothic"/>
                <w:b/>
                <w:bCs/>
                <w:i w:val="false"/>
                <w:iCs w:val="false"/>
                <w:color w:val="000000"/>
                <w:sz w:val="20"/>
                <w:szCs w:val="20"/>
              </w:rPr>
              <w:t xml:space="preserve">6.  Nature of the system.</w:t>
            </w:r>
          </w:p>
          <w:p>
            <w:pPr>
              <w:spacing w:after="20" w:before="20"/>
            </w:pPr>
            <w:r>
              <w:rPr>
                <w:rFonts w:ascii="Century Gothic" w:cs="Century Gothic" w:eastAsia="Century Gothic" w:hAnsi="Century Gothic"/>
                <w:b w:val="false"/>
                <w:bCs w:val="false"/>
                <w:i w:val="false"/>
                <w:iCs w:val="false"/>
                <w:color w:val="000000"/>
                <w:sz w:val="20"/>
                <w:szCs w:val="20"/>
              </w:rPr>
              <w:t xml:space="preserve">The Platform is formative decision support. It does not warrant that any grade, score, or narrative it produces is correct. The teacher remains accountable for every grade, retains the authority to change any score at any time, and is the marker of record. Validation statistics are population- and backend-scoped and do not transfer automatically to a different cohort, language of instruction, assessment type, hardware profile, or model quantization.</w:t>
            </w:r>
          </w:p>
        </w:tc>
      </w:tr>
    </w:tbl>
    <w:sectPr>
      <w:pgSz w:w="12240" w:h="15840" w:orient="portrait"/>
      <w:pgMar w:top="720" w:right="720" w:bottom="720" w:left="72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 Agentic Evaluation Harness for Education</dc:title>
  <dc:creator>Agentic Consulting</dc:creator>
  <dc:description>SoW accompanying the Software Development and License Agreement with MIT</dc:description>
  <cp:lastModifiedBy>Un-named</cp:lastModifiedBy>
  <cp:revision>1</cp:revision>
  <dcterms:created xsi:type="dcterms:W3CDTF">2026-08-19T22:06:02.130Z</dcterms:created>
  <dcterms:modified xsi:type="dcterms:W3CDTF">2026-08-19T22:06:02.132Z</dcterms:modified>
</cp:coreProperties>
</file>

<file path=docProps/custom.xml><?xml version="1.0" encoding="utf-8"?>
<Properties xmlns="http://schemas.openxmlformats.org/officeDocument/2006/custom-properties" xmlns:vt="http://schemas.openxmlformats.org/officeDocument/2006/docPropsVTypes"/>
</file>