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13D8" w14:textId="77777777" w:rsidR="00FF4609" w:rsidRDefault="00000000">
      <w:pPr>
        <w:spacing w:before="2400"/>
        <w:jc w:val="center"/>
      </w:pPr>
      <w:r>
        <w:rPr>
          <w:b/>
          <w:bCs/>
          <w:sz w:val="24"/>
          <w:szCs w:val="24"/>
        </w:rPr>
        <w:t>TRIAM MANAGEMENT SERVICES FZCO</w:t>
      </w:r>
    </w:p>
    <w:p w14:paraId="205E0F5A" w14:textId="77777777" w:rsidR="00FF4609" w:rsidRDefault="00000000">
      <w:pPr>
        <w:spacing w:before="600" w:after="200"/>
        <w:jc w:val="center"/>
      </w:pPr>
      <w:r>
        <w:rPr>
          <w:b/>
          <w:bCs/>
          <w:sz w:val="40"/>
          <w:szCs w:val="40"/>
        </w:rPr>
        <w:t>CRM Business Specification Document</w:t>
      </w:r>
    </w:p>
    <w:p w14:paraId="537FA6EB" w14:textId="77777777" w:rsidR="00FF4609" w:rsidRDefault="00000000">
      <w:pPr>
        <w:spacing w:after="1000"/>
        <w:jc w:val="center"/>
      </w:pPr>
      <w:r>
        <w:rPr>
          <w:i/>
          <w:iCs/>
          <w:color w:val="404040"/>
          <w:sz w:val="24"/>
          <w:szCs w:val="24"/>
        </w:rPr>
        <w:t>Client &amp; Entity Servicing Platform for BVI Entity Administration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F4609" w14:paraId="6151759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3335A30" w14:textId="77777777" w:rsidR="00FF4609" w:rsidRDefault="00000000">
            <w:r>
              <w:rPr>
                <w:b/>
                <w:bCs/>
              </w:rPr>
              <w:t>Document Title</w:t>
            </w:r>
          </w:p>
        </w:tc>
        <w:tc>
          <w:tcPr>
            <w:tcW w:w="6000" w:type="dxa"/>
            <w:tcBorders>
              <w:top w:val="single" w:sz="4" w:space="0" w:color="808080"/>
              <w:left w:val="single" w:sz="4" w:space="0" w:color="808080"/>
              <w:bottom w:val="single" w:sz="4" w:space="0" w:color="808080"/>
              <w:right w:val="single" w:sz="4" w:space="0" w:color="808080"/>
            </w:tcBorders>
            <w:vAlign w:val="center"/>
          </w:tcPr>
          <w:p w14:paraId="4417D4F4" w14:textId="77777777" w:rsidR="00FF4609" w:rsidRDefault="00000000">
            <w:r>
              <w:t>CRM Business Specification Document (BSD)</w:t>
            </w:r>
          </w:p>
        </w:tc>
      </w:tr>
      <w:tr w:rsidR="00FF4609" w14:paraId="67C73F4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0D194A13" w14:textId="77777777" w:rsidR="00FF4609" w:rsidRDefault="00000000">
            <w:r>
              <w:rPr>
                <w:b/>
                <w:bCs/>
              </w:rPr>
              <w:t>Prepared For</w:t>
            </w:r>
          </w:p>
        </w:tc>
        <w:tc>
          <w:tcPr>
            <w:tcW w:w="6000" w:type="dxa"/>
            <w:tcBorders>
              <w:top w:val="single" w:sz="4" w:space="0" w:color="808080"/>
              <w:left w:val="single" w:sz="4" w:space="0" w:color="808080"/>
              <w:bottom w:val="single" w:sz="4" w:space="0" w:color="808080"/>
              <w:right w:val="single" w:sz="4" w:space="0" w:color="808080"/>
            </w:tcBorders>
            <w:vAlign w:val="center"/>
          </w:tcPr>
          <w:p w14:paraId="1E3B6610" w14:textId="77777777" w:rsidR="00FF4609" w:rsidRDefault="00000000">
            <w:proofErr w:type="spellStart"/>
            <w:r>
              <w:t>Triam</w:t>
            </w:r>
            <w:proofErr w:type="spellEnd"/>
            <w:r>
              <w:t xml:space="preserve"> Management Services FZCO</w:t>
            </w:r>
          </w:p>
        </w:tc>
      </w:tr>
      <w:tr w:rsidR="00FF4609" w14:paraId="6D2510E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61D2EA2B" w14:textId="77777777" w:rsidR="00FF4609" w:rsidRDefault="00000000">
            <w:r>
              <w:rPr>
                <w:b/>
                <w:bCs/>
              </w:rPr>
              <w:t>Version</w:t>
            </w:r>
          </w:p>
        </w:tc>
        <w:tc>
          <w:tcPr>
            <w:tcW w:w="6000" w:type="dxa"/>
            <w:tcBorders>
              <w:top w:val="single" w:sz="4" w:space="0" w:color="808080"/>
              <w:left w:val="single" w:sz="4" w:space="0" w:color="808080"/>
              <w:bottom w:val="single" w:sz="4" w:space="0" w:color="808080"/>
              <w:right w:val="single" w:sz="4" w:space="0" w:color="808080"/>
            </w:tcBorders>
            <w:vAlign w:val="center"/>
          </w:tcPr>
          <w:p w14:paraId="736E64FC" w14:textId="77777777" w:rsidR="00FF4609" w:rsidRDefault="00000000">
            <w:r>
              <w:t>1.0</w:t>
            </w:r>
          </w:p>
        </w:tc>
      </w:tr>
      <w:tr w:rsidR="00FF4609" w14:paraId="59970FC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42075E31" w14:textId="77777777" w:rsidR="00FF4609" w:rsidRDefault="00000000">
            <w:r>
              <w:rPr>
                <w:b/>
                <w:bCs/>
              </w:rPr>
              <w:t>Date</w:t>
            </w:r>
          </w:p>
        </w:tc>
        <w:tc>
          <w:tcPr>
            <w:tcW w:w="6000" w:type="dxa"/>
            <w:tcBorders>
              <w:top w:val="single" w:sz="4" w:space="0" w:color="808080"/>
              <w:left w:val="single" w:sz="4" w:space="0" w:color="808080"/>
              <w:bottom w:val="single" w:sz="4" w:space="0" w:color="808080"/>
              <w:right w:val="single" w:sz="4" w:space="0" w:color="808080"/>
            </w:tcBorders>
            <w:vAlign w:val="center"/>
          </w:tcPr>
          <w:p w14:paraId="2FB54EA6" w14:textId="67F2645B" w:rsidR="00FF4609" w:rsidRDefault="00E95751">
            <w:r>
              <w:t>August 2026</w:t>
            </w:r>
          </w:p>
        </w:tc>
      </w:tr>
      <w:tr w:rsidR="00FF4609" w14:paraId="14BEE35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1344CDC3" w14:textId="77777777" w:rsidR="00FF4609" w:rsidRDefault="00000000">
            <w:r>
              <w:rPr>
                <w:b/>
                <w:bCs/>
              </w:rPr>
              <w:t>Status</w:t>
            </w:r>
          </w:p>
        </w:tc>
        <w:tc>
          <w:tcPr>
            <w:tcW w:w="6000" w:type="dxa"/>
            <w:tcBorders>
              <w:top w:val="single" w:sz="4" w:space="0" w:color="808080"/>
              <w:left w:val="single" w:sz="4" w:space="0" w:color="808080"/>
              <w:bottom w:val="single" w:sz="4" w:space="0" w:color="808080"/>
              <w:right w:val="single" w:sz="4" w:space="0" w:color="808080"/>
            </w:tcBorders>
            <w:vAlign w:val="center"/>
          </w:tcPr>
          <w:p w14:paraId="51967978" w14:textId="77777777" w:rsidR="00FF4609" w:rsidRDefault="00000000">
            <w:r>
              <w:t>Draft – For Review</w:t>
            </w:r>
          </w:p>
        </w:tc>
      </w:tr>
      <w:tr w:rsidR="00FF4609" w14:paraId="2082EB2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vAlign w:val="center"/>
          </w:tcPr>
          <w:p w14:paraId="7A232B0F" w14:textId="77777777" w:rsidR="00FF4609" w:rsidRDefault="00000000">
            <w:r>
              <w:rPr>
                <w:b/>
                <w:bCs/>
              </w:rPr>
              <w:t>Companion Document</w:t>
            </w:r>
          </w:p>
        </w:tc>
        <w:tc>
          <w:tcPr>
            <w:tcW w:w="6000" w:type="dxa"/>
            <w:tcBorders>
              <w:top w:val="single" w:sz="4" w:space="0" w:color="808080"/>
              <w:left w:val="single" w:sz="4" w:space="0" w:color="808080"/>
              <w:bottom w:val="single" w:sz="4" w:space="0" w:color="808080"/>
              <w:right w:val="single" w:sz="4" w:space="0" w:color="808080"/>
            </w:tcBorders>
            <w:vAlign w:val="center"/>
          </w:tcPr>
          <w:p w14:paraId="3237C4BA" w14:textId="77777777" w:rsidR="00FF4609" w:rsidRDefault="00000000">
            <w:r>
              <w:t>Functional Specification Document (FSD)</w:t>
            </w:r>
          </w:p>
        </w:tc>
      </w:tr>
    </w:tbl>
    <w:p w14:paraId="59846AB2" w14:textId="77777777" w:rsidR="00FF4609" w:rsidRDefault="00000000">
      <w:r>
        <w:br w:type="page"/>
      </w:r>
    </w:p>
    <w:p w14:paraId="47FE1098" w14:textId="77777777" w:rsidR="00FF4609" w:rsidRDefault="00000000">
      <w:pPr>
        <w:pStyle w:val="Heading1"/>
        <w:spacing w:before="360" w:after="200"/>
      </w:pPr>
      <w:bookmarkStart w:id="0" w:name="_Toc241240702"/>
      <w:r>
        <w:rPr>
          <w:b/>
          <w:bCs/>
          <w:color w:val="000000"/>
          <w:sz w:val="30"/>
          <w:szCs w:val="30"/>
        </w:rPr>
        <w:lastRenderedPageBreak/>
        <w:t>Table of Contents</w:t>
      </w:r>
      <w:bookmarkEnd w:id="0"/>
    </w:p>
    <w:sdt>
      <w:sdtPr>
        <w:alias w:val="Table of Contents"/>
        <w:id w:val="1126591651"/>
      </w:sdtPr>
      <w:sdtContent>
        <w:p w14:paraId="78CF8091" w14:textId="77777777" w:rsidR="00E95751" w:rsidRDefault="00000000">
          <w:pPr>
            <w:pStyle w:val="TOC1"/>
            <w:tabs>
              <w:tab w:val="right" w:leader="dot" w:pos="9016"/>
            </w:tabs>
            <w:rPr>
              <w:noProof/>
            </w:rPr>
          </w:pPr>
          <w:r>
            <w:fldChar w:fldCharType="begin"/>
          </w:r>
          <w:r>
            <w:instrText>TOC \h \o "1-2"</w:instrText>
          </w:r>
          <w:r>
            <w:fldChar w:fldCharType="separate"/>
          </w:r>
          <w:hyperlink w:anchor="_Toc241240702" w:history="1">
            <w:r w:rsidR="00E95751" w:rsidRPr="00D4642D">
              <w:rPr>
                <w:rStyle w:val="Hyperlink"/>
                <w:b/>
                <w:bCs/>
                <w:noProof/>
              </w:rPr>
              <w:t>Table of Contents</w:t>
            </w:r>
            <w:r w:rsidR="00E95751">
              <w:rPr>
                <w:noProof/>
              </w:rPr>
              <w:tab/>
            </w:r>
            <w:r w:rsidR="00E95751">
              <w:rPr>
                <w:noProof/>
              </w:rPr>
              <w:fldChar w:fldCharType="begin"/>
            </w:r>
            <w:r w:rsidR="00E95751">
              <w:rPr>
                <w:noProof/>
              </w:rPr>
              <w:instrText xml:space="preserve"> PAGEREF _Toc241240702 \h </w:instrText>
            </w:r>
            <w:r w:rsidR="00E95751">
              <w:rPr>
                <w:noProof/>
              </w:rPr>
            </w:r>
            <w:r w:rsidR="00E95751">
              <w:rPr>
                <w:noProof/>
              </w:rPr>
              <w:fldChar w:fldCharType="separate"/>
            </w:r>
            <w:r w:rsidR="00E95751">
              <w:rPr>
                <w:noProof/>
              </w:rPr>
              <w:t>2</w:t>
            </w:r>
            <w:r w:rsidR="00E95751">
              <w:rPr>
                <w:noProof/>
              </w:rPr>
              <w:fldChar w:fldCharType="end"/>
            </w:r>
          </w:hyperlink>
        </w:p>
        <w:p w14:paraId="4B84235A" w14:textId="77777777" w:rsidR="00E95751" w:rsidRDefault="00E95751">
          <w:pPr>
            <w:pStyle w:val="TOC1"/>
            <w:tabs>
              <w:tab w:val="right" w:leader="dot" w:pos="9016"/>
            </w:tabs>
            <w:rPr>
              <w:noProof/>
            </w:rPr>
          </w:pPr>
          <w:hyperlink w:anchor="_Toc241240703" w:history="1">
            <w:r w:rsidRPr="00D4642D">
              <w:rPr>
                <w:rStyle w:val="Hyperlink"/>
                <w:b/>
                <w:bCs/>
                <w:noProof/>
              </w:rPr>
              <w:t>1. Purpose</w:t>
            </w:r>
            <w:r>
              <w:rPr>
                <w:noProof/>
              </w:rPr>
              <w:tab/>
            </w:r>
            <w:r>
              <w:rPr>
                <w:noProof/>
              </w:rPr>
              <w:fldChar w:fldCharType="begin"/>
            </w:r>
            <w:r>
              <w:rPr>
                <w:noProof/>
              </w:rPr>
              <w:instrText xml:space="preserve"> PAGEREF _Toc241240703 \h </w:instrText>
            </w:r>
            <w:r>
              <w:rPr>
                <w:noProof/>
              </w:rPr>
            </w:r>
            <w:r>
              <w:rPr>
                <w:noProof/>
              </w:rPr>
              <w:fldChar w:fldCharType="separate"/>
            </w:r>
            <w:r>
              <w:rPr>
                <w:noProof/>
              </w:rPr>
              <w:t>3</w:t>
            </w:r>
            <w:r>
              <w:rPr>
                <w:noProof/>
              </w:rPr>
              <w:fldChar w:fldCharType="end"/>
            </w:r>
          </w:hyperlink>
        </w:p>
        <w:p w14:paraId="274D0418" w14:textId="77777777" w:rsidR="00E95751" w:rsidRDefault="00E95751">
          <w:pPr>
            <w:pStyle w:val="TOC1"/>
            <w:tabs>
              <w:tab w:val="right" w:leader="dot" w:pos="9016"/>
            </w:tabs>
            <w:rPr>
              <w:noProof/>
            </w:rPr>
          </w:pPr>
          <w:hyperlink w:anchor="_Toc241240704" w:history="1">
            <w:r w:rsidRPr="00D4642D">
              <w:rPr>
                <w:rStyle w:val="Hyperlink"/>
                <w:b/>
                <w:bCs/>
                <w:noProof/>
              </w:rPr>
              <w:t>2. Business Context</w:t>
            </w:r>
            <w:r>
              <w:rPr>
                <w:noProof/>
              </w:rPr>
              <w:tab/>
            </w:r>
            <w:r>
              <w:rPr>
                <w:noProof/>
              </w:rPr>
              <w:fldChar w:fldCharType="begin"/>
            </w:r>
            <w:r>
              <w:rPr>
                <w:noProof/>
              </w:rPr>
              <w:instrText xml:space="preserve"> PAGEREF _Toc241240704 \h </w:instrText>
            </w:r>
            <w:r>
              <w:rPr>
                <w:noProof/>
              </w:rPr>
            </w:r>
            <w:r>
              <w:rPr>
                <w:noProof/>
              </w:rPr>
              <w:fldChar w:fldCharType="separate"/>
            </w:r>
            <w:r>
              <w:rPr>
                <w:noProof/>
              </w:rPr>
              <w:t>3</w:t>
            </w:r>
            <w:r>
              <w:rPr>
                <w:noProof/>
              </w:rPr>
              <w:fldChar w:fldCharType="end"/>
            </w:r>
          </w:hyperlink>
        </w:p>
        <w:p w14:paraId="50A2E2BC" w14:textId="77777777" w:rsidR="00E95751" w:rsidRDefault="00E95751">
          <w:pPr>
            <w:pStyle w:val="TOC1"/>
            <w:tabs>
              <w:tab w:val="right" w:leader="dot" w:pos="9016"/>
            </w:tabs>
            <w:rPr>
              <w:noProof/>
            </w:rPr>
          </w:pPr>
          <w:hyperlink w:anchor="_Toc241240705" w:history="1">
            <w:r w:rsidRPr="00D4642D">
              <w:rPr>
                <w:rStyle w:val="Hyperlink"/>
                <w:b/>
                <w:bCs/>
                <w:noProof/>
              </w:rPr>
              <w:t>3. Problem Statement</w:t>
            </w:r>
            <w:r>
              <w:rPr>
                <w:noProof/>
              </w:rPr>
              <w:tab/>
            </w:r>
            <w:r>
              <w:rPr>
                <w:noProof/>
              </w:rPr>
              <w:fldChar w:fldCharType="begin"/>
            </w:r>
            <w:r>
              <w:rPr>
                <w:noProof/>
              </w:rPr>
              <w:instrText xml:space="preserve"> PAGEREF _Toc241240705 \h </w:instrText>
            </w:r>
            <w:r>
              <w:rPr>
                <w:noProof/>
              </w:rPr>
            </w:r>
            <w:r>
              <w:rPr>
                <w:noProof/>
              </w:rPr>
              <w:fldChar w:fldCharType="separate"/>
            </w:r>
            <w:r>
              <w:rPr>
                <w:noProof/>
              </w:rPr>
              <w:t>3</w:t>
            </w:r>
            <w:r>
              <w:rPr>
                <w:noProof/>
              </w:rPr>
              <w:fldChar w:fldCharType="end"/>
            </w:r>
          </w:hyperlink>
        </w:p>
        <w:p w14:paraId="13E13438" w14:textId="77777777" w:rsidR="00E95751" w:rsidRDefault="00E95751">
          <w:pPr>
            <w:pStyle w:val="TOC1"/>
            <w:tabs>
              <w:tab w:val="right" w:leader="dot" w:pos="9016"/>
            </w:tabs>
            <w:rPr>
              <w:noProof/>
            </w:rPr>
          </w:pPr>
          <w:hyperlink w:anchor="_Toc241240706" w:history="1">
            <w:r w:rsidRPr="00D4642D">
              <w:rPr>
                <w:rStyle w:val="Hyperlink"/>
                <w:b/>
                <w:bCs/>
                <w:noProof/>
              </w:rPr>
              <w:t>4. Business Objectives</w:t>
            </w:r>
            <w:r>
              <w:rPr>
                <w:noProof/>
              </w:rPr>
              <w:tab/>
            </w:r>
            <w:r>
              <w:rPr>
                <w:noProof/>
              </w:rPr>
              <w:fldChar w:fldCharType="begin"/>
            </w:r>
            <w:r>
              <w:rPr>
                <w:noProof/>
              </w:rPr>
              <w:instrText xml:space="preserve"> PAGEREF _Toc241240706 \h </w:instrText>
            </w:r>
            <w:r>
              <w:rPr>
                <w:noProof/>
              </w:rPr>
            </w:r>
            <w:r>
              <w:rPr>
                <w:noProof/>
              </w:rPr>
              <w:fldChar w:fldCharType="separate"/>
            </w:r>
            <w:r>
              <w:rPr>
                <w:noProof/>
              </w:rPr>
              <w:t>3</w:t>
            </w:r>
            <w:r>
              <w:rPr>
                <w:noProof/>
              </w:rPr>
              <w:fldChar w:fldCharType="end"/>
            </w:r>
          </w:hyperlink>
        </w:p>
        <w:p w14:paraId="419D0DBA" w14:textId="77777777" w:rsidR="00E95751" w:rsidRDefault="00E95751">
          <w:pPr>
            <w:pStyle w:val="TOC1"/>
            <w:tabs>
              <w:tab w:val="right" w:leader="dot" w:pos="9016"/>
            </w:tabs>
            <w:rPr>
              <w:noProof/>
            </w:rPr>
          </w:pPr>
          <w:hyperlink w:anchor="_Toc241240707" w:history="1">
            <w:r w:rsidRPr="00D4642D">
              <w:rPr>
                <w:rStyle w:val="Hyperlink"/>
                <w:b/>
                <w:bCs/>
                <w:noProof/>
              </w:rPr>
              <w:t>5. Scope</w:t>
            </w:r>
            <w:r>
              <w:rPr>
                <w:noProof/>
              </w:rPr>
              <w:tab/>
            </w:r>
            <w:r>
              <w:rPr>
                <w:noProof/>
              </w:rPr>
              <w:fldChar w:fldCharType="begin"/>
            </w:r>
            <w:r>
              <w:rPr>
                <w:noProof/>
              </w:rPr>
              <w:instrText xml:space="preserve"> PAGEREF _Toc241240707 \h </w:instrText>
            </w:r>
            <w:r>
              <w:rPr>
                <w:noProof/>
              </w:rPr>
            </w:r>
            <w:r>
              <w:rPr>
                <w:noProof/>
              </w:rPr>
              <w:fldChar w:fldCharType="separate"/>
            </w:r>
            <w:r>
              <w:rPr>
                <w:noProof/>
              </w:rPr>
              <w:t>4</w:t>
            </w:r>
            <w:r>
              <w:rPr>
                <w:noProof/>
              </w:rPr>
              <w:fldChar w:fldCharType="end"/>
            </w:r>
          </w:hyperlink>
        </w:p>
        <w:p w14:paraId="41247A0D" w14:textId="77777777" w:rsidR="00E95751" w:rsidRDefault="00E95751">
          <w:pPr>
            <w:pStyle w:val="TOC2"/>
            <w:tabs>
              <w:tab w:val="right" w:leader="dot" w:pos="9016"/>
            </w:tabs>
            <w:rPr>
              <w:noProof/>
            </w:rPr>
          </w:pPr>
          <w:hyperlink w:anchor="_Toc241240708" w:history="1">
            <w:r w:rsidRPr="00D4642D">
              <w:rPr>
                <w:rStyle w:val="Hyperlink"/>
                <w:b/>
                <w:bCs/>
                <w:noProof/>
              </w:rPr>
              <w:t>5.1 In Scope</w:t>
            </w:r>
            <w:r>
              <w:rPr>
                <w:noProof/>
              </w:rPr>
              <w:tab/>
            </w:r>
            <w:r>
              <w:rPr>
                <w:noProof/>
              </w:rPr>
              <w:fldChar w:fldCharType="begin"/>
            </w:r>
            <w:r>
              <w:rPr>
                <w:noProof/>
              </w:rPr>
              <w:instrText xml:space="preserve"> PAGEREF _Toc241240708 \h </w:instrText>
            </w:r>
            <w:r>
              <w:rPr>
                <w:noProof/>
              </w:rPr>
            </w:r>
            <w:r>
              <w:rPr>
                <w:noProof/>
              </w:rPr>
              <w:fldChar w:fldCharType="separate"/>
            </w:r>
            <w:r>
              <w:rPr>
                <w:noProof/>
              </w:rPr>
              <w:t>4</w:t>
            </w:r>
            <w:r>
              <w:rPr>
                <w:noProof/>
              </w:rPr>
              <w:fldChar w:fldCharType="end"/>
            </w:r>
          </w:hyperlink>
        </w:p>
        <w:p w14:paraId="2F6B2AA0" w14:textId="77777777" w:rsidR="00E95751" w:rsidRDefault="00E95751">
          <w:pPr>
            <w:pStyle w:val="TOC2"/>
            <w:tabs>
              <w:tab w:val="right" w:leader="dot" w:pos="9016"/>
            </w:tabs>
            <w:rPr>
              <w:noProof/>
            </w:rPr>
          </w:pPr>
          <w:hyperlink w:anchor="_Toc241240709" w:history="1">
            <w:r w:rsidRPr="00D4642D">
              <w:rPr>
                <w:rStyle w:val="Hyperlink"/>
                <w:b/>
                <w:bCs/>
                <w:noProof/>
              </w:rPr>
              <w:t>5.2 Out of Scope (Current Phase)</w:t>
            </w:r>
            <w:r>
              <w:rPr>
                <w:noProof/>
              </w:rPr>
              <w:tab/>
            </w:r>
            <w:r>
              <w:rPr>
                <w:noProof/>
              </w:rPr>
              <w:fldChar w:fldCharType="begin"/>
            </w:r>
            <w:r>
              <w:rPr>
                <w:noProof/>
              </w:rPr>
              <w:instrText xml:space="preserve"> PAGEREF _Toc241240709 \h </w:instrText>
            </w:r>
            <w:r>
              <w:rPr>
                <w:noProof/>
              </w:rPr>
            </w:r>
            <w:r>
              <w:rPr>
                <w:noProof/>
              </w:rPr>
              <w:fldChar w:fldCharType="separate"/>
            </w:r>
            <w:r>
              <w:rPr>
                <w:noProof/>
              </w:rPr>
              <w:t>4</w:t>
            </w:r>
            <w:r>
              <w:rPr>
                <w:noProof/>
              </w:rPr>
              <w:fldChar w:fldCharType="end"/>
            </w:r>
          </w:hyperlink>
        </w:p>
        <w:p w14:paraId="3D4F172A" w14:textId="77777777" w:rsidR="00E95751" w:rsidRDefault="00E95751">
          <w:pPr>
            <w:pStyle w:val="TOC1"/>
            <w:tabs>
              <w:tab w:val="right" w:leader="dot" w:pos="9016"/>
            </w:tabs>
            <w:rPr>
              <w:noProof/>
            </w:rPr>
          </w:pPr>
          <w:hyperlink w:anchor="_Toc241240710" w:history="1">
            <w:r w:rsidRPr="00D4642D">
              <w:rPr>
                <w:rStyle w:val="Hyperlink"/>
                <w:b/>
                <w:bCs/>
                <w:noProof/>
              </w:rPr>
              <w:t>6. Key Business Processes</w:t>
            </w:r>
            <w:r>
              <w:rPr>
                <w:noProof/>
              </w:rPr>
              <w:tab/>
            </w:r>
            <w:r>
              <w:rPr>
                <w:noProof/>
              </w:rPr>
              <w:fldChar w:fldCharType="begin"/>
            </w:r>
            <w:r>
              <w:rPr>
                <w:noProof/>
              </w:rPr>
              <w:instrText xml:space="preserve"> PAGEREF _Toc241240710 \h </w:instrText>
            </w:r>
            <w:r>
              <w:rPr>
                <w:noProof/>
              </w:rPr>
            </w:r>
            <w:r>
              <w:rPr>
                <w:noProof/>
              </w:rPr>
              <w:fldChar w:fldCharType="separate"/>
            </w:r>
            <w:r>
              <w:rPr>
                <w:noProof/>
              </w:rPr>
              <w:t>4</w:t>
            </w:r>
            <w:r>
              <w:rPr>
                <w:noProof/>
              </w:rPr>
              <w:fldChar w:fldCharType="end"/>
            </w:r>
          </w:hyperlink>
        </w:p>
        <w:p w14:paraId="1E387456" w14:textId="77777777" w:rsidR="00E95751" w:rsidRDefault="00E95751">
          <w:pPr>
            <w:pStyle w:val="TOC2"/>
            <w:tabs>
              <w:tab w:val="right" w:leader="dot" w:pos="9016"/>
            </w:tabs>
            <w:rPr>
              <w:noProof/>
            </w:rPr>
          </w:pPr>
          <w:hyperlink w:anchor="_Toc241240711" w:history="1">
            <w:r w:rsidRPr="00D4642D">
              <w:rPr>
                <w:rStyle w:val="Hyperlink"/>
                <w:b/>
                <w:bCs/>
                <w:noProof/>
              </w:rPr>
              <w:t>6.1 Client Onboarding and Case Lifecycle</w:t>
            </w:r>
            <w:r>
              <w:rPr>
                <w:noProof/>
              </w:rPr>
              <w:tab/>
            </w:r>
            <w:r>
              <w:rPr>
                <w:noProof/>
              </w:rPr>
              <w:fldChar w:fldCharType="begin"/>
            </w:r>
            <w:r>
              <w:rPr>
                <w:noProof/>
              </w:rPr>
              <w:instrText xml:space="preserve"> PAGEREF _Toc241240711 \h </w:instrText>
            </w:r>
            <w:r>
              <w:rPr>
                <w:noProof/>
              </w:rPr>
            </w:r>
            <w:r>
              <w:rPr>
                <w:noProof/>
              </w:rPr>
              <w:fldChar w:fldCharType="separate"/>
            </w:r>
            <w:r>
              <w:rPr>
                <w:noProof/>
              </w:rPr>
              <w:t>4</w:t>
            </w:r>
            <w:r>
              <w:rPr>
                <w:noProof/>
              </w:rPr>
              <w:fldChar w:fldCharType="end"/>
            </w:r>
          </w:hyperlink>
        </w:p>
        <w:p w14:paraId="76D3C50E" w14:textId="77777777" w:rsidR="00E95751" w:rsidRDefault="00E95751">
          <w:pPr>
            <w:pStyle w:val="TOC2"/>
            <w:tabs>
              <w:tab w:val="right" w:leader="dot" w:pos="9016"/>
            </w:tabs>
            <w:rPr>
              <w:noProof/>
            </w:rPr>
          </w:pPr>
          <w:hyperlink w:anchor="_Toc241240712" w:history="1">
            <w:r w:rsidRPr="00D4642D">
              <w:rPr>
                <w:rStyle w:val="Hyperlink"/>
                <w:b/>
                <w:bCs/>
                <w:noProof/>
              </w:rPr>
              <w:t>6.2 CDD/KYC and AML Risk Assessment</w:t>
            </w:r>
            <w:r>
              <w:rPr>
                <w:noProof/>
              </w:rPr>
              <w:tab/>
            </w:r>
            <w:r>
              <w:rPr>
                <w:noProof/>
              </w:rPr>
              <w:fldChar w:fldCharType="begin"/>
            </w:r>
            <w:r>
              <w:rPr>
                <w:noProof/>
              </w:rPr>
              <w:instrText xml:space="preserve"> PAGEREF _Toc241240712 \h </w:instrText>
            </w:r>
            <w:r>
              <w:rPr>
                <w:noProof/>
              </w:rPr>
            </w:r>
            <w:r>
              <w:rPr>
                <w:noProof/>
              </w:rPr>
              <w:fldChar w:fldCharType="separate"/>
            </w:r>
            <w:r>
              <w:rPr>
                <w:noProof/>
              </w:rPr>
              <w:t>4</w:t>
            </w:r>
            <w:r>
              <w:rPr>
                <w:noProof/>
              </w:rPr>
              <w:fldChar w:fldCharType="end"/>
            </w:r>
          </w:hyperlink>
        </w:p>
        <w:p w14:paraId="353BA4AB" w14:textId="77777777" w:rsidR="00E95751" w:rsidRDefault="00E95751">
          <w:pPr>
            <w:pStyle w:val="TOC2"/>
            <w:tabs>
              <w:tab w:val="right" w:leader="dot" w:pos="9016"/>
            </w:tabs>
            <w:rPr>
              <w:noProof/>
            </w:rPr>
          </w:pPr>
          <w:hyperlink w:anchor="_Toc241240713" w:history="1">
            <w:r w:rsidRPr="00D4642D">
              <w:rPr>
                <w:rStyle w:val="Hyperlink"/>
                <w:b/>
                <w:bCs/>
                <w:noProof/>
              </w:rPr>
              <w:t>6.3 Compliance Calendar</w:t>
            </w:r>
            <w:r>
              <w:rPr>
                <w:noProof/>
              </w:rPr>
              <w:tab/>
            </w:r>
            <w:r>
              <w:rPr>
                <w:noProof/>
              </w:rPr>
              <w:fldChar w:fldCharType="begin"/>
            </w:r>
            <w:r>
              <w:rPr>
                <w:noProof/>
              </w:rPr>
              <w:instrText xml:space="preserve"> PAGEREF _Toc241240713 \h </w:instrText>
            </w:r>
            <w:r>
              <w:rPr>
                <w:noProof/>
              </w:rPr>
            </w:r>
            <w:r>
              <w:rPr>
                <w:noProof/>
              </w:rPr>
              <w:fldChar w:fldCharType="separate"/>
            </w:r>
            <w:r>
              <w:rPr>
                <w:noProof/>
              </w:rPr>
              <w:t>5</w:t>
            </w:r>
            <w:r>
              <w:rPr>
                <w:noProof/>
              </w:rPr>
              <w:fldChar w:fldCharType="end"/>
            </w:r>
          </w:hyperlink>
        </w:p>
        <w:p w14:paraId="4C291441" w14:textId="77777777" w:rsidR="00E95751" w:rsidRDefault="00E95751">
          <w:pPr>
            <w:pStyle w:val="TOC2"/>
            <w:tabs>
              <w:tab w:val="right" w:leader="dot" w:pos="9016"/>
            </w:tabs>
            <w:rPr>
              <w:noProof/>
            </w:rPr>
          </w:pPr>
          <w:hyperlink w:anchor="_Toc241240714" w:history="1">
            <w:r w:rsidRPr="00D4642D">
              <w:rPr>
                <w:rStyle w:val="Hyperlink"/>
                <w:b/>
                <w:bCs/>
                <w:noProof/>
              </w:rPr>
              <w:t>6.4 Entity Closure and Restoration</w:t>
            </w:r>
            <w:r>
              <w:rPr>
                <w:noProof/>
              </w:rPr>
              <w:tab/>
            </w:r>
            <w:r>
              <w:rPr>
                <w:noProof/>
              </w:rPr>
              <w:fldChar w:fldCharType="begin"/>
            </w:r>
            <w:r>
              <w:rPr>
                <w:noProof/>
              </w:rPr>
              <w:instrText xml:space="preserve"> PAGEREF _Toc241240714 \h </w:instrText>
            </w:r>
            <w:r>
              <w:rPr>
                <w:noProof/>
              </w:rPr>
            </w:r>
            <w:r>
              <w:rPr>
                <w:noProof/>
              </w:rPr>
              <w:fldChar w:fldCharType="separate"/>
            </w:r>
            <w:r>
              <w:rPr>
                <w:noProof/>
              </w:rPr>
              <w:t>5</w:t>
            </w:r>
            <w:r>
              <w:rPr>
                <w:noProof/>
              </w:rPr>
              <w:fldChar w:fldCharType="end"/>
            </w:r>
          </w:hyperlink>
        </w:p>
        <w:p w14:paraId="5EFADD2D" w14:textId="77777777" w:rsidR="00E95751" w:rsidRDefault="00E95751">
          <w:pPr>
            <w:pStyle w:val="TOC2"/>
            <w:tabs>
              <w:tab w:val="right" w:leader="dot" w:pos="9016"/>
            </w:tabs>
            <w:rPr>
              <w:noProof/>
            </w:rPr>
          </w:pPr>
          <w:hyperlink w:anchor="_Toc241240715" w:history="1">
            <w:r w:rsidRPr="00D4642D">
              <w:rPr>
                <w:rStyle w:val="Hyperlink"/>
                <w:b/>
                <w:bCs/>
                <w:noProof/>
              </w:rPr>
              <w:t>6.5 Instruction Tracking</w:t>
            </w:r>
            <w:r>
              <w:rPr>
                <w:noProof/>
              </w:rPr>
              <w:tab/>
            </w:r>
            <w:r>
              <w:rPr>
                <w:noProof/>
              </w:rPr>
              <w:fldChar w:fldCharType="begin"/>
            </w:r>
            <w:r>
              <w:rPr>
                <w:noProof/>
              </w:rPr>
              <w:instrText xml:space="preserve"> PAGEREF _Toc241240715 \h </w:instrText>
            </w:r>
            <w:r>
              <w:rPr>
                <w:noProof/>
              </w:rPr>
            </w:r>
            <w:r>
              <w:rPr>
                <w:noProof/>
              </w:rPr>
              <w:fldChar w:fldCharType="separate"/>
            </w:r>
            <w:r>
              <w:rPr>
                <w:noProof/>
              </w:rPr>
              <w:t>5</w:t>
            </w:r>
            <w:r>
              <w:rPr>
                <w:noProof/>
              </w:rPr>
              <w:fldChar w:fldCharType="end"/>
            </w:r>
          </w:hyperlink>
        </w:p>
        <w:p w14:paraId="5903DFD6" w14:textId="77777777" w:rsidR="00E95751" w:rsidRDefault="00E95751">
          <w:pPr>
            <w:pStyle w:val="TOC1"/>
            <w:tabs>
              <w:tab w:val="right" w:leader="dot" w:pos="9016"/>
            </w:tabs>
            <w:rPr>
              <w:noProof/>
            </w:rPr>
          </w:pPr>
          <w:hyperlink w:anchor="_Toc241240716" w:history="1">
            <w:r w:rsidRPr="00D4642D">
              <w:rPr>
                <w:rStyle w:val="Hyperlink"/>
                <w:b/>
                <w:bCs/>
                <w:noProof/>
              </w:rPr>
              <w:t>7. Stakeholders and Roles</w:t>
            </w:r>
            <w:r>
              <w:rPr>
                <w:noProof/>
              </w:rPr>
              <w:tab/>
            </w:r>
            <w:r>
              <w:rPr>
                <w:noProof/>
              </w:rPr>
              <w:fldChar w:fldCharType="begin"/>
            </w:r>
            <w:r>
              <w:rPr>
                <w:noProof/>
              </w:rPr>
              <w:instrText xml:space="preserve"> PAGEREF _Toc241240716 \h </w:instrText>
            </w:r>
            <w:r>
              <w:rPr>
                <w:noProof/>
              </w:rPr>
            </w:r>
            <w:r>
              <w:rPr>
                <w:noProof/>
              </w:rPr>
              <w:fldChar w:fldCharType="separate"/>
            </w:r>
            <w:r>
              <w:rPr>
                <w:noProof/>
              </w:rPr>
              <w:t>5</w:t>
            </w:r>
            <w:r>
              <w:rPr>
                <w:noProof/>
              </w:rPr>
              <w:fldChar w:fldCharType="end"/>
            </w:r>
          </w:hyperlink>
        </w:p>
        <w:p w14:paraId="04AF0271" w14:textId="77777777" w:rsidR="00E95751" w:rsidRDefault="00E95751">
          <w:pPr>
            <w:pStyle w:val="TOC1"/>
            <w:tabs>
              <w:tab w:val="right" w:leader="dot" w:pos="9016"/>
            </w:tabs>
            <w:rPr>
              <w:noProof/>
            </w:rPr>
          </w:pPr>
          <w:hyperlink w:anchor="_Toc241240717" w:history="1">
            <w:r w:rsidRPr="00D4642D">
              <w:rPr>
                <w:rStyle w:val="Hyperlink"/>
                <w:b/>
                <w:bCs/>
                <w:noProof/>
              </w:rPr>
              <w:t>8. Key Business Rules Enforced by the System</w:t>
            </w:r>
            <w:r>
              <w:rPr>
                <w:noProof/>
              </w:rPr>
              <w:tab/>
            </w:r>
            <w:r>
              <w:rPr>
                <w:noProof/>
              </w:rPr>
              <w:fldChar w:fldCharType="begin"/>
            </w:r>
            <w:r>
              <w:rPr>
                <w:noProof/>
              </w:rPr>
              <w:instrText xml:space="preserve"> PAGEREF _Toc241240717 \h </w:instrText>
            </w:r>
            <w:r>
              <w:rPr>
                <w:noProof/>
              </w:rPr>
            </w:r>
            <w:r>
              <w:rPr>
                <w:noProof/>
              </w:rPr>
              <w:fldChar w:fldCharType="separate"/>
            </w:r>
            <w:r>
              <w:rPr>
                <w:noProof/>
              </w:rPr>
              <w:t>6</w:t>
            </w:r>
            <w:r>
              <w:rPr>
                <w:noProof/>
              </w:rPr>
              <w:fldChar w:fldCharType="end"/>
            </w:r>
          </w:hyperlink>
        </w:p>
        <w:p w14:paraId="48FD5987" w14:textId="77777777" w:rsidR="00E95751" w:rsidRDefault="00E95751">
          <w:pPr>
            <w:pStyle w:val="TOC1"/>
            <w:tabs>
              <w:tab w:val="right" w:leader="dot" w:pos="9016"/>
            </w:tabs>
            <w:rPr>
              <w:noProof/>
            </w:rPr>
          </w:pPr>
          <w:hyperlink w:anchor="_Toc241240718" w:history="1">
            <w:r w:rsidRPr="00D4642D">
              <w:rPr>
                <w:rStyle w:val="Hyperlink"/>
                <w:b/>
                <w:bCs/>
                <w:noProof/>
              </w:rPr>
              <w:t>9. Benefits</w:t>
            </w:r>
            <w:r>
              <w:rPr>
                <w:noProof/>
              </w:rPr>
              <w:tab/>
            </w:r>
            <w:r>
              <w:rPr>
                <w:noProof/>
              </w:rPr>
              <w:fldChar w:fldCharType="begin"/>
            </w:r>
            <w:r>
              <w:rPr>
                <w:noProof/>
              </w:rPr>
              <w:instrText xml:space="preserve"> PAGEREF _Toc241240718 \h </w:instrText>
            </w:r>
            <w:r>
              <w:rPr>
                <w:noProof/>
              </w:rPr>
            </w:r>
            <w:r>
              <w:rPr>
                <w:noProof/>
              </w:rPr>
              <w:fldChar w:fldCharType="separate"/>
            </w:r>
            <w:r>
              <w:rPr>
                <w:noProof/>
              </w:rPr>
              <w:t>6</w:t>
            </w:r>
            <w:r>
              <w:rPr>
                <w:noProof/>
              </w:rPr>
              <w:fldChar w:fldCharType="end"/>
            </w:r>
          </w:hyperlink>
        </w:p>
        <w:p w14:paraId="3A607DE3" w14:textId="77777777" w:rsidR="00E95751" w:rsidRDefault="00E95751">
          <w:pPr>
            <w:pStyle w:val="TOC1"/>
            <w:tabs>
              <w:tab w:val="right" w:leader="dot" w:pos="9016"/>
            </w:tabs>
            <w:rPr>
              <w:noProof/>
            </w:rPr>
          </w:pPr>
          <w:hyperlink w:anchor="_Toc241240719" w:history="1">
            <w:r w:rsidRPr="00D4642D">
              <w:rPr>
                <w:rStyle w:val="Hyperlink"/>
                <w:b/>
                <w:bCs/>
                <w:noProof/>
              </w:rPr>
              <w:t>10. Assumptions and Constraints</w:t>
            </w:r>
            <w:r>
              <w:rPr>
                <w:noProof/>
              </w:rPr>
              <w:tab/>
            </w:r>
            <w:r>
              <w:rPr>
                <w:noProof/>
              </w:rPr>
              <w:fldChar w:fldCharType="begin"/>
            </w:r>
            <w:r>
              <w:rPr>
                <w:noProof/>
              </w:rPr>
              <w:instrText xml:space="preserve"> PAGEREF _Toc241240719 \h </w:instrText>
            </w:r>
            <w:r>
              <w:rPr>
                <w:noProof/>
              </w:rPr>
            </w:r>
            <w:r>
              <w:rPr>
                <w:noProof/>
              </w:rPr>
              <w:fldChar w:fldCharType="separate"/>
            </w:r>
            <w:r>
              <w:rPr>
                <w:noProof/>
              </w:rPr>
              <w:t>6</w:t>
            </w:r>
            <w:r>
              <w:rPr>
                <w:noProof/>
              </w:rPr>
              <w:fldChar w:fldCharType="end"/>
            </w:r>
          </w:hyperlink>
        </w:p>
        <w:p w14:paraId="22CA523F" w14:textId="77777777" w:rsidR="00E95751" w:rsidRDefault="00E95751">
          <w:pPr>
            <w:pStyle w:val="TOC1"/>
            <w:tabs>
              <w:tab w:val="right" w:leader="dot" w:pos="9016"/>
            </w:tabs>
            <w:rPr>
              <w:noProof/>
            </w:rPr>
          </w:pPr>
          <w:hyperlink w:anchor="_Toc241240720" w:history="1">
            <w:r w:rsidRPr="00D4642D">
              <w:rPr>
                <w:rStyle w:val="Hyperlink"/>
                <w:b/>
                <w:bCs/>
                <w:noProof/>
              </w:rPr>
              <w:t>11. Glossary</w:t>
            </w:r>
            <w:r>
              <w:rPr>
                <w:noProof/>
              </w:rPr>
              <w:tab/>
            </w:r>
            <w:r>
              <w:rPr>
                <w:noProof/>
              </w:rPr>
              <w:fldChar w:fldCharType="begin"/>
            </w:r>
            <w:r>
              <w:rPr>
                <w:noProof/>
              </w:rPr>
              <w:instrText xml:space="preserve"> PAGEREF _Toc241240720 \h </w:instrText>
            </w:r>
            <w:r>
              <w:rPr>
                <w:noProof/>
              </w:rPr>
            </w:r>
            <w:r>
              <w:rPr>
                <w:noProof/>
              </w:rPr>
              <w:fldChar w:fldCharType="separate"/>
            </w:r>
            <w:r>
              <w:rPr>
                <w:noProof/>
              </w:rPr>
              <w:t>6</w:t>
            </w:r>
            <w:r>
              <w:rPr>
                <w:noProof/>
              </w:rPr>
              <w:fldChar w:fldCharType="end"/>
            </w:r>
          </w:hyperlink>
        </w:p>
        <w:p w14:paraId="46C1FA20" w14:textId="77777777" w:rsidR="00FF4609" w:rsidRDefault="00000000">
          <w:r>
            <w:fldChar w:fldCharType="end"/>
          </w:r>
        </w:p>
      </w:sdtContent>
    </w:sdt>
    <w:p w14:paraId="1AA58328" w14:textId="77777777" w:rsidR="00FF4609" w:rsidRDefault="00000000">
      <w:r>
        <w:br w:type="page"/>
      </w:r>
    </w:p>
    <w:p w14:paraId="5AA54DBA" w14:textId="77777777" w:rsidR="00FF4609" w:rsidRDefault="00000000">
      <w:pPr>
        <w:pStyle w:val="Heading1"/>
        <w:spacing w:before="360" w:after="200"/>
      </w:pPr>
      <w:bookmarkStart w:id="1" w:name="_Toc241240703"/>
      <w:r>
        <w:rPr>
          <w:b/>
          <w:bCs/>
          <w:color w:val="000000"/>
          <w:sz w:val="30"/>
          <w:szCs w:val="30"/>
        </w:rPr>
        <w:lastRenderedPageBreak/>
        <w:t>1. Purpose</w:t>
      </w:r>
      <w:bookmarkEnd w:id="1"/>
    </w:p>
    <w:p w14:paraId="12A3BB41" w14:textId="77777777" w:rsidR="00FF4609" w:rsidRDefault="00000000">
      <w:pPr>
        <w:spacing w:after="160"/>
      </w:pPr>
      <w:r>
        <w:t xml:space="preserve">This document describes the business context, objectives, and scope of the </w:t>
      </w:r>
      <w:proofErr w:type="spellStart"/>
      <w:r>
        <w:t>Triam</w:t>
      </w:r>
      <w:proofErr w:type="spellEnd"/>
      <w:r>
        <w:t xml:space="preserve"> CRM — a purpose-built platform that replaces </w:t>
      </w:r>
      <w:proofErr w:type="spellStart"/>
      <w:r>
        <w:t>Triam's</w:t>
      </w:r>
      <w:proofErr w:type="spellEnd"/>
      <w:r>
        <w:t xml:space="preserve"> manual, spreadsheet-based entity servicing workflow with a single system of record for client onboarding, compliance, and ongoing BVI entity administration.</w:t>
      </w:r>
    </w:p>
    <w:p w14:paraId="2E53688F" w14:textId="77777777" w:rsidR="00FF4609" w:rsidRDefault="00000000">
      <w:pPr>
        <w:spacing w:after="160"/>
      </w:pPr>
      <w:r>
        <w:t xml:space="preserve">It is written for business stakeholders at </w:t>
      </w:r>
      <w:proofErr w:type="spellStart"/>
      <w:r>
        <w:t>Triam</w:t>
      </w:r>
      <w:proofErr w:type="spellEnd"/>
      <w:r>
        <w:t xml:space="preserve"> to review and confirm that the system, as built, matches how the firm </w:t>
      </w:r>
      <w:proofErr w:type="gramStart"/>
      <w:r>
        <w:t>actually operates</w:t>
      </w:r>
      <w:proofErr w:type="gramEnd"/>
      <w:r>
        <w:t>. The companion Functional Specification Document (FSD) covers the same ground at the level of individual screens, fields, and validation rules.</w:t>
      </w:r>
    </w:p>
    <w:p w14:paraId="50DEF56A" w14:textId="77777777" w:rsidR="00FF4609" w:rsidRDefault="00000000">
      <w:pPr>
        <w:pStyle w:val="Heading1"/>
        <w:spacing w:before="360" w:after="200"/>
      </w:pPr>
      <w:bookmarkStart w:id="2" w:name="_Toc241240704"/>
      <w:r>
        <w:rPr>
          <w:b/>
          <w:bCs/>
          <w:color w:val="000000"/>
          <w:sz w:val="30"/>
          <w:szCs w:val="30"/>
        </w:rPr>
        <w:t>2. Business Context</w:t>
      </w:r>
      <w:bookmarkEnd w:id="2"/>
    </w:p>
    <w:p w14:paraId="1479B795" w14:textId="77777777" w:rsidR="00FF4609" w:rsidRDefault="00000000">
      <w:pPr>
        <w:spacing w:after="160"/>
      </w:pPr>
      <w:proofErr w:type="spellStart"/>
      <w:r>
        <w:t>Triam</w:t>
      </w:r>
      <w:proofErr w:type="spellEnd"/>
      <w:r>
        <w:t xml:space="preserve"> Management Services FZCO (IFZA, Dubai) acts as an introducer and administrator for BVI and other offshore entities on behalf of its clients. Vistra Corporate Services acts as the Registered Agent (RA) for these entities. Vistra does not deal with the end client directly — every instruction, document, and status update passes through </w:t>
      </w:r>
      <w:proofErr w:type="spellStart"/>
      <w:r>
        <w:t>Triam</w:t>
      </w:r>
      <w:proofErr w:type="spellEnd"/>
      <w:r>
        <w:t>:</w:t>
      </w:r>
    </w:p>
    <w:p w14:paraId="1C847AF7" w14:textId="77777777" w:rsidR="00FF4609" w:rsidRDefault="00000000">
      <w:pPr>
        <w:spacing w:before="120" w:after="120"/>
        <w:jc w:val="center"/>
      </w:pPr>
      <w:proofErr w:type="gramStart"/>
      <w:r>
        <w:rPr>
          <w:b/>
          <w:bCs/>
        </w:rPr>
        <w:t>Client  →</w:t>
      </w:r>
      <w:proofErr w:type="gramEnd"/>
      <w:r>
        <w:rPr>
          <w:b/>
          <w:bCs/>
        </w:rPr>
        <w:t xml:space="preserve">  </w:t>
      </w:r>
      <w:proofErr w:type="spellStart"/>
      <w:proofErr w:type="gramStart"/>
      <w:r>
        <w:rPr>
          <w:b/>
          <w:bCs/>
        </w:rPr>
        <w:t>Triam</w:t>
      </w:r>
      <w:proofErr w:type="spellEnd"/>
      <w:r>
        <w:rPr>
          <w:b/>
          <w:bCs/>
        </w:rPr>
        <w:t xml:space="preserve">  →</w:t>
      </w:r>
      <w:proofErr w:type="gramEnd"/>
      <w:r>
        <w:rPr>
          <w:b/>
          <w:bCs/>
        </w:rPr>
        <w:t xml:space="preserve">  Vistra (Registered </w:t>
      </w:r>
      <w:proofErr w:type="gramStart"/>
      <w:r>
        <w:rPr>
          <w:b/>
          <w:bCs/>
        </w:rPr>
        <w:t>Agent)  →</w:t>
      </w:r>
      <w:proofErr w:type="gramEnd"/>
      <w:r>
        <w:rPr>
          <w:b/>
          <w:bCs/>
        </w:rPr>
        <w:t xml:space="preserve">  </w:t>
      </w:r>
      <w:proofErr w:type="spellStart"/>
      <w:proofErr w:type="gramStart"/>
      <w:r>
        <w:rPr>
          <w:b/>
          <w:bCs/>
        </w:rPr>
        <w:t>Triam</w:t>
      </w:r>
      <w:proofErr w:type="spellEnd"/>
      <w:r>
        <w:rPr>
          <w:b/>
          <w:bCs/>
        </w:rPr>
        <w:t xml:space="preserve">  →</w:t>
      </w:r>
      <w:proofErr w:type="gramEnd"/>
      <w:r>
        <w:rPr>
          <w:b/>
          <w:bCs/>
        </w:rPr>
        <w:t xml:space="preserve">  Client</w:t>
      </w:r>
    </w:p>
    <w:p w14:paraId="216E132D" w14:textId="77777777" w:rsidR="00FF4609" w:rsidRDefault="00000000">
      <w:pPr>
        <w:spacing w:after="160"/>
      </w:pPr>
      <w:r>
        <w:t>This round-trip is the backbone of nearly every workflow in the system — from a simple certificate request to a full entity closure. Before the CRM, this round-trip, along with every client's compliance calendar and KYC status, was tracked manually across a shared-drive Excel workbook (the “Offshore Entity List” and Instruction Tracker) and email correspondence.</w:t>
      </w:r>
    </w:p>
    <w:p w14:paraId="16E256BA" w14:textId="77777777" w:rsidR="00FF4609" w:rsidRDefault="00000000">
      <w:pPr>
        <w:pStyle w:val="Heading1"/>
        <w:spacing w:before="360" w:after="200"/>
      </w:pPr>
      <w:bookmarkStart w:id="3" w:name="_Toc241240705"/>
      <w:r>
        <w:rPr>
          <w:b/>
          <w:bCs/>
          <w:color w:val="000000"/>
          <w:sz w:val="30"/>
          <w:szCs w:val="30"/>
        </w:rPr>
        <w:t>3. Problem Statement</w:t>
      </w:r>
      <w:bookmarkEnd w:id="3"/>
    </w:p>
    <w:p w14:paraId="0425EBF3" w14:textId="77777777" w:rsidR="00FF4609" w:rsidRDefault="00000000">
      <w:pPr>
        <w:pStyle w:val="ListParagraph"/>
        <w:numPr>
          <w:ilvl w:val="0"/>
          <w:numId w:val="2"/>
        </w:numPr>
        <w:spacing w:after="100"/>
      </w:pPr>
      <w:r>
        <w:t xml:space="preserve">No single source of truth. Client data, compliance dates, and instruction status lived across spreadsheets and inboxes, prone to version conflicts and manual transcription </w:t>
      </w:r>
      <w:proofErr w:type="gramStart"/>
      <w:r>
        <w:t>error</w:t>
      </w:r>
      <w:proofErr w:type="gramEnd"/>
      <w:r>
        <w:t>.</w:t>
      </w:r>
    </w:p>
    <w:p w14:paraId="3DD97C9B" w14:textId="77777777" w:rsidR="00FF4609" w:rsidRDefault="00000000">
      <w:pPr>
        <w:pStyle w:val="ListParagraph"/>
        <w:numPr>
          <w:ilvl w:val="0"/>
          <w:numId w:val="2"/>
        </w:numPr>
        <w:spacing w:after="100"/>
      </w:pPr>
      <w:r>
        <w:t>No structured audit trail. AML/CDD decisions, ownership changes, and document history had no consistent record of who decided what, and when.</w:t>
      </w:r>
    </w:p>
    <w:p w14:paraId="5B8E0A0B" w14:textId="77777777" w:rsidR="00FF4609" w:rsidRDefault="00000000">
      <w:pPr>
        <w:pStyle w:val="ListParagraph"/>
        <w:numPr>
          <w:ilvl w:val="0"/>
          <w:numId w:val="2"/>
        </w:numPr>
        <w:spacing w:after="100"/>
      </w:pPr>
      <w:r>
        <w:t xml:space="preserve">Manual compliance tracking. Annual </w:t>
      </w:r>
      <w:proofErr w:type="spellStart"/>
      <w:r>
        <w:t>Licence</w:t>
      </w:r>
      <w:proofErr w:type="spellEnd"/>
      <w:r>
        <w:t xml:space="preserve"> Fee, Economic Substance filing, Annual Return, and ROM/RBO deadlines were tracked by manual date entry, with no automatic alerting as dates approached.</w:t>
      </w:r>
    </w:p>
    <w:p w14:paraId="732429A0" w14:textId="77777777" w:rsidR="00FF4609" w:rsidRDefault="00000000">
      <w:pPr>
        <w:pStyle w:val="ListParagraph"/>
        <w:numPr>
          <w:ilvl w:val="0"/>
          <w:numId w:val="2"/>
        </w:numPr>
        <w:spacing w:after="100"/>
      </w:pPr>
      <w:r>
        <w:t>Inconsistent onboarding data. What got captured for a new client varied from one Relationship Manager to the next, with no enforced data-entry rules.</w:t>
      </w:r>
    </w:p>
    <w:p w14:paraId="4D5DD2F7" w14:textId="77777777" w:rsidR="00FF4609" w:rsidRDefault="00000000">
      <w:pPr>
        <w:pStyle w:val="ListParagraph"/>
        <w:numPr>
          <w:ilvl w:val="0"/>
          <w:numId w:val="2"/>
        </w:numPr>
        <w:spacing w:after="100"/>
      </w:pPr>
      <w:r>
        <w:t>No real-time portfolio visibility. Understanding caseload, revenue, or compliance exposure across the client book meant manually reconciling several sheets.</w:t>
      </w:r>
    </w:p>
    <w:p w14:paraId="237320AE" w14:textId="77777777" w:rsidR="00FF4609" w:rsidRDefault="00000000">
      <w:pPr>
        <w:pStyle w:val="Heading1"/>
        <w:spacing w:before="360" w:after="200"/>
      </w:pPr>
      <w:bookmarkStart w:id="4" w:name="_Toc241240706"/>
      <w:r>
        <w:rPr>
          <w:b/>
          <w:bCs/>
          <w:color w:val="000000"/>
          <w:sz w:val="30"/>
          <w:szCs w:val="30"/>
        </w:rPr>
        <w:t>4. Business Objectives</w:t>
      </w:r>
      <w:bookmarkEnd w:id="4"/>
    </w:p>
    <w:p w14:paraId="12B9699D" w14:textId="77777777" w:rsidR="00FF4609" w:rsidRDefault="00000000">
      <w:pPr>
        <w:pStyle w:val="ListParagraph"/>
        <w:numPr>
          <w:ilvl w:val="0"/>
          <w:numId w:val="2"/>
        </w:numPr>
        <w:spacing w:after="100"/>
      </w:pPr>
      <w:r>
        <w:t>Replace the Excel Instruction Tracker and Offshore Entity List with a single, structured system of record.</w:t>
      </w:r>
    </w:p>
    <w:p w14:paraId="6E155A90" w14:textId="77777777" w:rsidR="00FF4609" w:rsidRDefault="00000000">
      <w:pPr>
        <w:pStyle w:val="ListParagraph"/>
        <w:numPr>
          <w:ilvl w:val="0"/>
          <w:numId w:val="2"/>
        </w:numPr>
        <w:spacing w:after="100"/>
      </w:pPr>
      <w:r>
        <w:t xml:space="preserve">Enforce </w:t>
      </w:r>
      <w:proofErr w:type="spellStart"/>
      <w:r>
        <w:t>Triam's</w:t>
      </w:r>
      <w:proofErr w:type="spellEnd"/>
      <w:r>
        <w:t xml:space="preserve"> actual compliance rules — AML risk scoring, CDD document requirements, ownership completeness — at the point of data entry, not after the fact.</w:t>
      </w:r>
    </w:p>
    <w:p w14:paraId="44403ECC" w14:textId="77777777" w:rsidR="00FF4609" w:rsidRDefault="00000000">
      <w:pPr>
        <w:pStyle w:val="ListParagraph"/>
        <w:numPr>
          <w:ilvl w:val="0"/>
          <w:numId w:val="2"/>
        </w:numPr>
        <w:spacing w:after="100"/>
      </w:pPr>
      <w:r>
        <w:lastRenderedPageBreak/>
        <w:t>Automate compliance-deadline tracking and surface upcoming or overdue filings proactively.</w:t>
      </w:r>
    </w:p>
    <w:p w14:paraId="6FB5F4F1" w14:textId="77777777" w:rsidR="00FF4609" w:rsidRDefault="00000000">
      <w:pPr>
        <w:pStyle w:val="ListParagraph"/>
        <w:numPr>
          <w:ilvl w:val="0"/>
          <w:numId w:val="2"/>
        </w:numPr>
        <w:spacing w:after="100"/>
      </w:pPr>
      <w:r>
        <w:t>Give management real-time visibility into caseload, revenue, and compliance exposure across the client book.</w:t>
      </w:r>
    </w:p>
    <w:p w14:paraId="3282C3C7" w14:textId="77777777" w:rsidR="00FF4609" w:rsidRDefault="00000000">
      <w:pPr>
        <w:pStyle w:val="ListParagraph"/>
        <w:numPr>
          <w:ilvl w:val="0"/>
          <w:numId w:val="2"/>
        </w:numPr>
        <w:spacing w:after="100"/>
      </w:pPr>
      <w:r>
        <w:t xml:space="preserve">Preserve the exact business process already in use — Client → </w:t>
      </w:r>
      <w:proofErr w:type="spellStart"/>
      <w:r>
        <w:t>Triam</w:t>
      </w:r>
      <w:proofErr w:type="spellEnd"/>
      <w:r>
        <w:t xml:space="preserve"> → Vistra → </w:t>
      </w:r>
      <w:proofErr w:type="spellStart"/>
      <w:r>
        <w:t>Triam</w:t>
      </w:r>
      <w:proofErr w:type="spellEnd"/>
      <w:r>
        <w:t xml:space="preserve"> → Client — rather than imposing a generic CRM workflow that doesn't fit how </w:t>
      </w:r>
      <w:proofErr w:type="spellStart"/>
      <w:r>
        <w:t>Triam</w:t>
      </w:r>
      <w:proofErr w:type="spellEnd"/>
      <w:r>
        <w:t xml:space="preserve"> works.</w:t>
      </w:r>
    </w:p>
    <w:p w14:paraId="5D9D7771" w14:textId="77777777" w:rsidR="00FF4609" w:rsidRDefault="00000000">
      <w:pPr>
        <w:pStyle w:val="Heading1"/>
        <w:spacing w:before="360" w:after="200"/>
      </w:pPr>
      <w:bookmarkStart w:id="5" w:name="_Toc241240707"/>
      <w:r>
        <w:rPr>
          <w:b/>
          <w:bCs/>
          <w:color w:val="000000"/>
          <w:sz w:val="30"/>
          <w:szCs w:val="30"/>
        </w:rPr>
        <w:t>5. Scope</w:t>
      </w:r>
      <w:bookmarkEnd w:id="5"/>
    </w:p>
    <w:p w14:paraId="7CFC1532" w14:textId="77777777" w:rsidR="00FF4609" w:rsidRDefault="00000000">
      <w:pPr>
        <w:pStyle w:val="Heading2"/>
        <w:spacing w:before="240" w:after="140"/>
      </w:pPr>
      <w:bookmarkStart w:id="6" w:name="_Toc241240708"/>
      <w:r>
        <w:rPr>
          <w:b/>
          <w:bCs/>
          <w:color w:val="000000"/>
          <w:sz w:val="24"/>
          <w:szCs w:val="24"/>
        </w:rPr>
        <w:t>5.1 In Scope</w:t>
      </w:r>
      <w:bookmarkEnd w:id="6"/>
    </w:p>
    <w:p w14:paraId="6DC615A0" w14:textId="77777777" w:rsidR="00FF4609" w:rsidRDefault="00000000">
      <w:pPr>
        <w:pStyle w:val="ListParagraph"/>
        <w:numPr>
          <w:ilvl w:val="0"/>
          <w:numId w:val="2"/>
        </w:numPr>
        <w:spacing w:after="100"/>
      </w:pPr>
      <w:r>
        <w:t>Client relationship management — Corporate and Individual client profiles</w:t>
      </w:r>
    </w:p>
    <w:p w14:paraId="63387BB5" w14:textId="77777777" w:rsidR="00FF4609" w:rsidRDefault="00000000">
      <w:pPr>
        <w:pStyle w:val="ListParagraph"/>
        <w:numPr>
          <w:ilvl w:val="0"/>
          <w:numId w:val="2"/>
        </w:numPr>
        <w:spacing w:after="100"/>
      </w:pPr>
      <w:r>
        <w:t>The full BVI entity servicing lifecycle, from New Inquiry through Active status</w:t>
      </w:r>
    </w:p>
    <w:p w14:paraId="08EEADD7" w14:textId="77777777" w:rsidR="00FF4609" w:rsidRDefault="00000000">
      <w:pPr>
        <w:pStyle w:val="ListParagraph"/>
        <w:numPr>
          <w:ilvl w:val="0"/>
          <w:numId w:val="2"/>
        </w:numPr>
        <w:spacing w:after="100"/>
      </w:pPr>
      <w:r>
        <w:t>CDD/KYC, AML risk assessment, and PEP screening</w:t>
      </w:r>
    </w:p>
    <w:p w14:paraId="478FD7D6" w14:textId="77777777" w:rsidR="00FF4609" w:rsidRDefault="00000000">
      <w:pPr>
        <w:pStyle w:val="ListParagraph"/>
        <w:numPr>
          <w:ilvl w:val="0"/>
          <w:numId w:val="2"/>
        </w:numPr>
        <w:spacing w:after="100"/>
      </w:pPr>
      <w:r>
        <w:t>Formation processing — screening, MLRO sign-off, the Vistra submission loop</w:t>
      </w:r>
    </w:p>
    <w:p w14:paraId="74581890" w14:textId="77777777" w:rsidR="00FF4609" w:rsidRDefault="00000000">
      <w:pPr>
        <w:pStyle w:val="ListParagraph"/>
        <w:numPr>
          <w:ilvl w:val="0"/>
          <w:numId w:val="2"/>
        </w:numPr>
        <w:spacing w:after="100"/>
      </w:pPr>
      <w:r>
        <w:t xml:space="preserve">Ongoing compliance — Annual </w:t>
      </w:r>
      <w:proofErr w:type="spellStart"/>
      <w:r>
        <w:t>Licence</w:t>
      </w:r>
      <w:proofErr w:type="spellEnd"/>
      <w:r>
        <w:t xml:space="preserve"> Fee renewal, Economic Substance filing, Annual Return, ROM/RBO filing</w:t>
      </w:r>
    </w:p>
    <w:p w14:paraId="72B334C3" w14:textId="77777777" w:rsidR="00FF4609" w:rsidRDefault="00000000">
      <w:pPr>
        <w:pStyle w:val="ListParagraph"/>
        <w:numPr>
          <w:ilvl w:val="0"/>
          <w:numId w:val="2"/>
        </w:numPr>
        <w:spacing w:after="100"/>
      </w:pPr>
      <w:r>
        <w:t>Entity lifecycle events — Voluntary Liquidation, Voluntary Strike Off, Lapse by Non-Payment, Restoration, RA Transfer</w:t>
      </w:r>
    </w:p>
    <w:p w14:paraId="5FFBFEC5" w14:textId="77777777" w:rsidR="00FF4609" w:rsidRDefault="00000000">
      <w:pPr>
        <w:pStyle w:val="ListParagraph"/>
        <w:numPr>
          <w:ilvl w:val="0"/>
          <w:numId w:val="2"/>
        </w:numPr>
        <w:spacing w:after="100"/>
      </w:pPr>
      <w:r>
        <w:t>Instruction tracking, mirroring the Annexure 7 tracker</w:t>
      </w:r>
    </w:p>
    <w:p w14:paraId="6169B4FD" w14:textId="77777777" w:rsidR="00FF4609" w:rsidRDefault="00000000">
      <w:pPr>
        <w:pStyle w:val="ListParagraph"/>
        <w:numPr>
          <w:ilvl w:val="0"/>
          <w:numId w:val="2"/>
        </w:numPr>
        <w:spacing w:after="100"/>
      </w:pPr>
      <w:r>
        <w:t>Document management, invoicing, activity logging, notifications, and reporting</w:t>
      </w:r>
    </w:p>
    <w:p w14:paraId="2F513D8E" w14:textId="77777777" w:rsidR="00FF4609" w:rsidRDefault="00000000">
      <w:pPr>
        <w:pStyle w:val="ListParagraph"/>
        <w:numPr>
          <w:ilvl w:val="0"/>
          <w:numId w:val="2"/>
        </w:numPr>
        <w:spacing w:after="100"/>
      </w:pPr>
      <w:r>
        <w:t>Role-based access for Admin, Relationship Manager, Operations, and Screening functions</w:t>
      </w:r>
    </w:p>
    <w:p w14:paraId="5AB33CC9" w14:textId="77777777" w:rsidR="00FF4609" w:rsidRDefault="00000000">
      <w:pPr>
        <w:pStyle w:val="Heading2"/>
        <w:spacing w:before="240" w:after="140"/>
      </w:pPr>
      <w:bookmarkStart w:id="7" w:name="_Toc241240709"/>
      <w:r>
        <w:rPr>
          <w:b/>
          <w:bCs/>
          <w:color w:val="000000"/>
          <w:sz w:val="24"/>
          <w:szCs w:val="24"/>
        </w:rPr>
        <w:t>5.2 Out of Scope (Current Phase)</w:t>
      </w:r>
      <w:bookmarkEnd w:id="7"/>
    </w:p>
    <w:p w14:paraId="292FE0CF" w14:textId="77777777" w:rsidR="00FF4609" w:rsidRDefault="00000000">
      <w:pPr>
        <w:pStyle w:val="ListParagraph"/>
        <w:numPr>
          <w:ilvl w:val="0"/>
          <w:numId w:val="2"/>
        </w:numPr>
        <w:spacing w:after="100"/>
      </w:pPr>
      <w:r>
        <w:t>Jurisdictions other than BVI are represented structurally but not yet fully process-mapped</w:t>
      </w:r>
    </w:p>
    <w:p w14:paraId="2CD02D5B" w14:textId="77777777" w:rsidR="00FF4609" w:rsidRDefault="00000000">
      <w:pPr>
        <w:pStyle w:val="ListParagraph"/>
        <w:numPr>
          <w:ilvl w:val="0"/>
          <w:numId w:val="2"/>
        </w:numPr>
        <w:spacing w:after="100"/>
      </w:pPr>
      <w:r>
        <w:t xml:space="preserve">Direct system integration with Vistra — the </w:t>
      </w:r>
      <w:proofErr w:type="spellStart"/>
      <w:r>
        <w:t>Triam</w:t>
      </w:r>
      <w:proofErr w:type="spellEnd"/>
      <w:r>
        <w:t xml:space="preserve"> ↔ Vistra leg remains a manually operated round-trip, tracked inside the CRM rather than automated end-to-end</w:t>
      </w:r>
    </w:p>
    <w:p w14:paraId="4968D2D3" w14:textId="77777777" w:rsidR="00FF4609" w:rsidRDefault="00000000">
      <w:pPr>
        <w:pStyle w:val="ListParagraph"/>
        <w:numPr>
          <w:ilvl w:val="0"/>
          <w:numId w:val="2"/>
        </w:numPr>
        <w:spacing w:after="100"/>
      </w:pPr>
      <w:r>
        <w:t xml:space="preserve">A client-facing self-service portal — the system is for internal </w:t>
      </w:r>
      <w:proofErr w:type="spellStart"/>
      <w:r>
        <w:t>Triam</w:t>
      </w:r>
      <w:proofErr w:type="spellEnd"/>
      <w:r>
        <w:t xml:space="preserve"> use only</w:t>
      </w:r>
    </w:p>
    <w:p w14:paraId="556CCF87" w14:textId="77777777" w:rsidR="00FF4609" w:rsidRDefault="00000000">
      <w:pPr>
        <w:pStyle w:val="Heading1"/>
        <w:spacing w:before="360" w:after="200"/>
      </w:pPr>
      <w:bookmarkStart w:id="8" w:name="_Toc241240710"/>
      <w:r>
        <w:rPr>
          <w:b/>
          <w:bCs/>
          <w:color w:val="000000"/>
          <w:sz w:val="30"/>
          <w:szCs w:val="30"/>
        </w:rPr>
        <w:t>6. Key Business Processes</w:t>
      </w:r>
      <w:bookmarkEnd w:id="8"/>
    </w:p>
    <w:p w14:paraId="4A6256F1" w14:textId="77777777" w:rsidR="00FF4609" w:rsidRDefault="00000000">
      <w:pPr>
        <w:pStyle w:val="Heading2"/>
        <w:spacing w:before="240" w:after="140"/>
      </w:pPr>
      <w:bookmarkStart w:id="9" w:name="_Toc241240711"/>
      <w:r>
        <w:rPr>
          <w:b/>
          <w:bCs/>
          <w:color w:val="000000"/>
          <w:sz w:val="24"/>
          <w:szCs w:val="24"/>
        </w:rPr>
        <w:t>6.1 Client Onboarding and Case Lifecycle</w:t>
      </w:r>
      <w:bookmarkEnd w:id="9"/>
    </w:p>
    <w:p w14:paraId="39AE40C8" w14:textId="77777777" w:rsidR="00FF4609" w:rsidRDefault="00000000">
      <w:pPr>
        <w:spacing w:after="160"/>
      </w:pPr>
      <w:r>
        <w:t>Every new engagement becomes a Case, moving through a fixed, forward-only pipeline. A case cannot skip a stage:</w:t>
      </w:r>
    </w:p>
    <w:p w14:paraId="6CF7FB57" w14:textId="77777777" w:rsidR="00FF4609" w:rsidRDefault="00000000">
      <w:pPr>
        <w:spacing w:after="160"/>
      </w:pPr>
      <w:r>
        <w:rPr>
          <w:i/>
          <w:iCs/>
        </w:rPr>
        <w:t>New Inquiry → RM Assigned → Docs Requested → CDD/KYC In Review → CDD Approved → Invoice Raised → Invoice Paid → Ops Assigned → Application Submitted → License Received → Active</w:t>
      </w:r>
    </w:p>
    <w:p w14:paraId="00722BC6" w14:textId="77777777" w:rsidR="00FF4609" w:rsidRDefault="00000000">
      <w:pPr>
        <w:pStyle w:val="Heading2"/>
        <w:spacing w:before="240" w:after="140"/>
      </w:pPr>
      <w:bookmarkStart w:id="10" w:name="_Toc241240712"/>
      <w:r>
        <w:rPr>
          <w:b/>
          <w:bCs/>
          <w:color w:val="000000"/>
          <w:sz w:val="24"/>
          <w:szCs w:val="24"/>
        </w:rPr>
        <w:t>6.2 CDD/KYC and AML Risk Assessment</w:t>
      </w:r>
      <w:bookmarkEnd w:id="10"/>
    </w:p>
    <w:p w14:paraId="37060573" w14:textId="77777777" w:rsidR="00FF4609" w:rsidRDefault="00000000">
      <w:pPr>
        <w:spacing w:after="160"/>
      </w:pPr>
      <w:r>
        <w:lastRenderedPageBreak/>
        <w:t xml:space="preserve">Every Director, Shareholder, and Ultimate Beneficial Owner is captured in a party register that mirrors Vistra's own onboarding forms. Each case's AML risk rating is computed from </w:t>
      </w:r>
      <w:proofErr w:type="spellStart"/>
      <w:r>
        <w:t>Triam's</w:t>
      </w:r>
      <w:proofErr w:type="spellEnd"/>
      <w:r>
        <w:t xml:space="preserve"> weighted risk matrix (version 8.0/6-</w:t>
      </w:r>
      <w:proofErr w:type="gramStart"/>
      <w:r>
        <w:t>25) —</w:t>
      </w:r>
      <w:proofErr w:type="gramEnd"/>
      <w:r>
        <w:t xml:space="preserve"> twelve factors, including country of incorporation and residence, UBO nationality, business sector, PEP exposure, and introduction channel, each individually weighted and scored, rolling up to a Low, Medium, or High band.</w:t>
      </w:r>
    </w:p>
    <w:p w14:paraId="7D0BE14B" w14:textId="77777777" w:rsidR="00FF4609" w:rsidRDefault="00000000">
      <w:pPr>
        <w:spacing w:after="160"/>
      </w:pPr>
      <w:r>
        <w:rPr>
          <w:b/>
          <w:bCs/>
        </w:rPr>
        <w:t>Hard override: a FATF grey- or black-listed jurisdiction, or High PEP exposure, forces the overall rating to High regardless of the computed score. FATF black-listed countries block onboarding entirely.</w:t>
      </w:r>
    </w:p>
    <w:p w14:paraId="4BCF01B7" w14:textId="77777777" w:rsidR="00FF4609" w:rsidRDefault="00000000">
      <w:pPr>
        <w:pStyle w:val="Heading2"/>
        <w:spacing w:before="240" w:after="140"/>
      </w:pPr>
      <w:bookmarkStart w:id="11" w:name="_Toc241240713"/>
      <w:r>
        <w:rPr>
          <w:b/>
          <w:bCs/>
          <w:color w:val="000000"/>
          <w:sz w:val="24"/>
          <w:szCs w:val="24"/>
        </w:rPr>
        <w:t>6.3 Compliance Calendar</w:t>
      </w:r>
      <w:bookmarkEnd w:id="11"/>
    </w:p>
    <w:p w14:paraId="5F81B2E7" w14:textId="77777777" w:rsidR="00FF4609" w:rsidRDefault="00000000">
      <w:pPr>
        <w:spacing w:after="160"/>
      </w:pPr>
      <w:r>
        <w:t>Once a case goes Active, the system tracks four recurring obligations automatically: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F4609" w14:paraId="1DE4A661"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E7E6E6"/>
          </w:tcPr>
          <w:p w14:paraId="0DB93791" w14:textId="77777777" w:rsidR="00FF4609" w:rsidRDefault="00000000">
            <w:r>
              <w:rPr>
                <w:b/>
                <w:bCs/>
                <w:sz w:val="20"/>
                <w:szCs w:val="20"/>
              </w:rPr>
              <w:t>Obligation</w:t>
            </w:r>
          </w:p>
        </w:tc>
        <w:tc>
          <w:tcPr>
            <w:tcW w:w="4500" w:type="dxa"/>
            <w:tcBorders>
              <w:top w:val="single" w:sz="4" w:space="0" w:color="808080"/>
              <w:left w:val="single" w:sz="4" w:space="0" w:color="808080"/>
              <w:bottom w:val="single" w:sz="4" w:space="0" w:color="808080"/>
              <w:right w:val="single" w:sz="4" w:space="0" w:color="808080"/>
            </w:tcBorders>
            <w:shd w:val="clear" w:color="auto" w:fill="E7E6E6"/>
          </w:tcPr>
          <w:p w14:paraId="15955B84" w14:textId="77777777" w:rsidR="00FF4609" w:rsidRDefault="00000000">
            <w:r>
              <w:rPr>
                <w:b/>
                <w:bCs/>
                <w:sz w:val="20"/>
                <w:szCs w:val="20"/>
              </w:rPr>
              <w:t>Cadence</w:t>
            </w:r>
          </w:p>
        </w:tc>
      </w:tr>
      <w:tr w:rsidR="00FF4609" w14:paraId="06A4BB62"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Pr>
          <w:p w14:paraId="67CF9F64" w14:textId="77777777" w:rsidR="00FF4609" w:rsidRDefault="00000000">
            <w:r>
              <w:rPr>
                <w:sz w:val="20"/>
                <w:szCs w:val="20"/>
              </w:rPr>
              <w:t xml:space="preserve">Annual </w:t>
            </w:r>
            <w:proofErr w:type="spellStart"/>
            <w:r>
              <w:rPr>
                <w:sz w:val="20"/>
                <w:szCs w:val="20"/>
              </w:rPr>
              <w:t>Licence</w:t>
            </w:r>
            <w:proofErr w:type="spellEnd"/>
            <w:r>
              <w:rPr>
                <w:sz w:val="20"/>
                <w:szCs w:val="20"/>
              </w:rPr>
              <w:t xml:space="preserve"> Fee</w:t>
            </w:r>
          </w:p>
        </w:tc>
        <w:tc>
          <w:tcPr>
            <w:tcW w:w="4500" w:type="dxa"/>
            <w:tcBorders>
              <w:top w:val="single" w:sz="4" w:space="0" w:color="808080"/>
              <w:left w:val="single" w:sz="4" w:space="0" w:color="808080"/>
              <w:bottom w:val="single" w:sz="4" w:space="0" w:color="808080"/>
              <w:right w:val="single" w:sz="4" w:space="0" w:color="808080"/>
            </w:tcBorders>
          </w:tcPr>
          <w:p w14:paraId="2322BC76" w14:textId="77777777" w:rsidR="00FF4609" w:rsidRDefault="00000000">
            <w:r>
              <w:rPr>
                <w:sz w:val="20"/>
                <w:szCs w:val="20"/>
              </w:rPr>
              <w:t xml:space="preserve">Due </w:t>
            </w:r>
            <w:proofErr w:type="gramStart"/>
            <w:r>
              <w:rPr>
                <w:sz w:val="20"/>
                <w:szCs w:val="20"/>
              </w:rPr>
              <w:t>on</w:t>
            </w:r>
            <w:proofErr w:type="gramEnd"/>
            <w:r>
              <w:rPr>
                <w:sz w:val="20"/>
                <w:szCs w:val="20"/>
              </w:rPr>
              <w:t xml:space="preserve"> the incorporation anniversary</w:t>
            </w:r>
          </w:p>
        </w:tc>
      </w:tr>
      <w:tr w:rsidR="00FF4609" w14:paraId="2FFFE6A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Pr>
          <w:p w14:paraId="78B56122" w14:textId="77777777" w:rsidR="00FF4609" w:rsidRDefault="00000000">
            <w:r>
              <w:rPr>
                <w:sz w:val="20"/>
                <w:szCs w:val="20"/>
              </w:rPr>
              <w:t>Economic Substance (ESR) filing</w:t>
            </w:r>
          </w:p>
        </w:tc>
        <w:tc>
          <w:tcPr>
            <w:tcW w:w="4500" w:type="dxa"/>
            <w:tcBorders>
              <w:top w:val="single" w:sz="4" w:space="0" w:color="808080"/>
              <w:left w:val="single" w:sz="4" w:space="0" w:color="808080"/>
              <w:bottom w:val="single" w:sz="4" w:space="0" w:color="808080"/>
              <w:right w:val="single" w:sz="4" w:space="0" w:color="808080"/>
            </w:tcBorders>
          </w:tcPr>
          <w:p w14:paraId="615C60F1" w14:textId="77777777" w:rsidR="00FF4609" w:rsidRDefault="00000000">
            <w:r>
              <w:rPr>
                <w:sz w:val="20"/>
                <w:szCs w:val="20"/>
              </w:rPr>
              <w:t>Annual</w:t>
            </w:r>
          </w:p>
        </w:tc>
      </w:tr>
      <w:tr w:rsidR="00FF4609" w14:paraId="7EAE79EA"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Pr>
          <w:p w14:paraId="07414E9F" w14:textId="77777777" w:rsidR="00FF4609" w:rsidRDefault="00000000">
            <w:r>
              <w:rPr>
                <w:sz w:val="20"/>
                <w:szCs w:val="20"/>
              </w:rPr>
              <w:t>Annual Return (AR)</w:t>
            </w:r>
          </w:p>
        </w:tc>
        <w:tc>
          <w:tcPr>
            <w:tcW w:w="4500" w:type="dxa"/>
            <w:tcBorders>
              <w:top w:val="single" w:sz="4" w:space="0" w:color="808080"/>
              <w:left w:val="single" w:sz="4" w:space="0" w:color="808080"/>
              <w:bottom w:val="single" w:sz="4" w:space="0" w:color="808080"/>
              <w:right w:val="single" w:sz="4" w:space="0" w:color="808080"/>
            </w:tcBorders>
          </w:tcPr>
          <w:p w14:paraId="6F71E015" w14:textId="77777777" w:rsidR="00FF4609" w:rsidRDefault="00000000">
            <w:r>
              <w:rPr>
                <w:sz w:val="20"/>
                <w:szCs w:val="20"/>
              </w:rPr>
              <w:t>Fixed, due 30 September</w:t>
            </w:r>
          </w:p>
        </w:tc>
      </w:tr>
      <w:tr w:rsidR="00FF4609" w14:paraId="66505064"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Pr>
          <w:p w14:paraId="0688029E" w14:textId="77777777" w:rsidR="00FF4609" w:rsidRDefault="00000000">
            <w:r>
              <w:rPr>
                <w:sz w:val="20"/>
                <w:szCs w:val="20"/>
              </w:rPr>
              <w:t>ROM/RBO filing</w:t>
            </w:r>
          </w:p>
        </w:tc>
        <w:tc>
          <w:tcPr>
            <w:tcW w:w="4500" w:type="dxa"/>
            <w:tcBorders>
              <w:top w:val="single" w:sz="4" w:space="0" w:color="808080"/>
              <w:left w:val="single" w:sz="4" w:space="0" w:color="808080"/>
              <w:bottom w:val="single" w:sz="4" w:space="0" w:color="808080"/>
              <w:right w:val="single" w:sz="4" w:space="0" w:color="808080"/>
            </w:tcBorders>
          </w:tcPr>
          <w:p w14:paraId="2AD91D93" w14:textId="77777777" w:rsidR="00FF4609" w:rsidRDefault="00000000">
            <w:r>
              <w:rPr>
                <w:sz w:val="20"/>
                <w:szCs w:val="20"/>
              </w:rPr>
              <w:t>Triggered within 30 days of an ownership change</w:t>
            </w:r>
          </w:p>
        </w:tc>
      </w:tr>
    </w:tbl>
    <w:p w14:paraId="3228EAD0" w14:textId="77777777" w:rsidR="00FF4609" w:rsidRDefault="00000000">
      <w:pPr>
        <w:spacing w:before="160" w:after="160"/>
      </w:pPr>
      <w:r>
        <w:t>Upcoming and overdue items surface on a compliance calendar and the portfolio dashboard.</w:t>
      </w:r>
    </w:p>
    <w:p w14:paraId="66C50946" w14:textId="77777777" w:rsidR="00FF4609" w:rsidRDefault="00000000">
      <w:pPr>
        <w:pStyle w:val="Heading2"/>
        <w:spacing w:before="240" w:after="140"/>
      </w:pPr>
      <w:bookmarkStart w:id="12" w:name="_Toc241240714"/>
      <w:r>
        <w:rPr>
          <w:b/>
          <w:bCs/>
          <w:color w:val="000000"/>
          <w:sz w:val="24"/>
          <w:szCs w:val="24"/>
        </w:rPr>
        <w:t>6.4 Entity Closure and Restoration</w:t>
      </w:r>
      <w:bookmarkEnd w:id="12"/>
    </w:p>
    <w:p w14:paraId="3001A8DC" w14:textId="77777777" w:rsidR="00FF4609" w:rsidRDefault="00000000">
      <w:pPr>
        <w:spacing w:after="160"/>
      </w:pPr>
      <w:r>
        <w:t>When a client exits, the system tracks the closure method — Voluntary Liquidation, Voluntary Strike Off, or Lapse by Non-Payment — and the resulting seven-year dissolution horizon. If a client later wants a struck-off entity restored, a fifteen-item restoration checklist governs the process. RA transfers, moving an entity's registered agent to or from Vistra, are tracked as a distinct lifecycle event.</w:t>
      </w:r>
    </w:p>
    <w:p w14:paraId="4AB7BF03" w14:textId="77777777" w:rsidR="00FF4609" w:rsidRDefault="00000000">
      <w:pPr>
        <w:pStyle w:val="Heading2"/>
        <w:spacing w:before="240" w:after="140"/>
      </w:pPr>
      <w:bookmarkStart w:id="13" w:name="_Toc241240715"/>
      <w:r>
        <w:rPr>
          <w:b/>
          <w:bCs/>
          <w:color w:val="000000"/>
          <w:sz w:val="24"/>
          <w:szCs w:val="24"/>
        </w:rPr>
        <w:t>6.5 Instruction Tracking</w:t>
      </w:r>
      <w:bookmarkEnd w:id="13"/>
    </w:p>
    <w:p w14:paraId="0627ADAF" w14:textId="77777777" w:rsidR="00FF4609" w:rsidRDefault="00000000">
      <w:pPr>
        <w:spacing w:after="160"/>
      </w:pPr>
      <w:r>
        <w:t xml:space="preserve">Every ad hoc service request to Vistra — a change of director, a certificate of good standing, and similar — is logged as an Instruction: type, status, the dates through the </w:t>
      </w:r>
      <w:proofErr w:type="spellStart"/>
      <w:r>
        <w:t>Triam</w:t>
      </w:r>
      <w:proofErr w:type="spellEnd"/>
      <w:r>
        <w:t xml:space="preserve"> → Vistra → </w:t>
      </w:r>
      <w:proofErr w:type="spellStart"/>
      <w:r>
        <w:t>Triam</w:t>
      </w:r>
      <w:proofErr w:type="spellEnd"/>
      <w:r>
        <w:t xml:space="preserve"> round-trip, the cost paid to Vistra versus the amount charged to the client, and the resulting margin.</w:t>
      </w:r>
    </w:p>
    <w:p w14:paraId="3B3ED303" w14:textId="77777777" w:rsidR="00FF4609" w:rsidRDefault="00000000">
      <w:pPr>
        <w:pStyle w:val="Heading1"/>
        <w:spacing w:before="360" w:after="200"/>
      </w:pPr>
      <w:bookmarkStart w:id="14" w:name="_Toc241240716"/>
      <w:r>
        <w:rPr>
          <w:b/>
          <w:bCs/>
          <w:color w:val="000000"/>
          <w:sz w:val="30"/>
          <w:szCs w:val="30"/>
        </w:rPr>
        <w:t>7. Stakeholders and Roles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F4609" w14:paraId="1C6A7516"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Pr>
          <w:p w14:paraId="7431FC05" w14:textId="77777777" w:rsidR="00FF4609" w:rsidRDefault="00000000">
            <w:r>
              <w:rPr>
                <w:b/>
                <w:bCs/>
                <w:sz w:val="20"/>
                <w:szCs w:val="20"/>
              </w:rPr>
              <w:t>Role</w:t>
            </w:r>
          </w:p>
        </w:tc>
        <w:tc>
          <w:tcPr>
            <w:tcW w:w="5800" w:type="dxa"/>
            <w:tcBorders>
              <w:top w:val="single" w:sz="4" w:space="0" w:color="808080"/>
              <w:left w:val="single" w:sz="4" w:space="0" w:color="808080"/>
              <w:bottom w:val="single" w:sz="4" w:space="0" w:color="808080"/>
              <w:right w:val="single" w:sz="4" w:space="0" w:color="808080"/>
            </w:tcBorders>
            <w:shd w:val="clear" w:color="auto" w:fill="E7E6E6"/>
          </w:tcPr>
          <w:p w14:paraId="3C9E352B" w14:textId="77777777" w:rsidR="00FF4609" w:rsidRDefault="00000000">
            <w:r>
              <w:rPr>
                <w:b/>
                <w:bCs/>
                <w:sz w:val="20"/>
                <w:szCs w:val="20"/>
              </w:rPr>
              <w:t>Function</w:t>
            </w:r>
          </w:p>
        </w:tc>
      </w:tr>
      <w:tr w:rsidR="00FF4609" w14:paraId="6A3E6AA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Pr>
          <w:p w14:paraId="3B1A84E4" w14:textId="77777777" w:rsidR="00FF4609" w:rsidRDefault="00000000">
            <w:r>
              <w:rPr>
                <w:sz w:val="20"/>
                <w:szCs w:val="20"/>
              </w:rPr>
              <w:t>Admin</w:t>
            </w:r>
          </w:p>
        </w:tc>
        <w:tc>
          <w:tcPr>
            <w:tcW w:w="5800" w:type="dxa"/>
            <w:tcBorders>
              <w:top w:val="single" w:sz="4" w:space="0" w:color="808080"/>
              <w:left w:val="single" w:sz="4" w:space="0" w:color="808080"/>
              <w:bottom w:val="single" w:sz="4" w:space="0" w:color="808080"/>
              <w:right w:val="single" w:sz="4" w:space="0" w:color="808080"/>
            </w:tcBorders>
          </w:tcPr>
          <w:p w14:paraId="0368E5A4" w14:textId="77777777" w:rsidR="00FF4609" w:rsidRDefault="00000000">
            <w:r>
              <w:rPr>
                <w:sz w:val="20"/>
                <w:szCs w:val="20"/>
              </w:rPr>
              <w:t>Full system access — user and department management, all client and case data</w:t>
            </w:r>
          </w:p>
        </w:tc>
      </w:tr>
      <w:tr w:rsidR="00FF4609" w14:paraId="045E6FBB"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Pr>
          <w:p w14:paraId="778DF9E7" w14:textId="77777777" w:rsidR="00FF4609" w:rsidRDefault="00000000">
            <w:r>
              <w:rPr>
                <w:sz w:val="20"/>
                <w:szCs w:val="20"/>
              </w:rPr>
              <w:t>Relationship Manager (RM)</w:t>
            </w:r>
          </w:p>
        </w:tc>
        <w:tc>
          <w:tcPr>
            <w:tcW w:w="5800" w:type="dxa"/>
            <w:tcBorders>
              <w:top w:val="single" w:sz="4" w:space="0" w:color="808080"/>
              <w:left w:val="single" w:sz="4" w:space="0" w:color="808080"/>
              <w:bottom w:val="single" w:sz="4" w:space="0" w:color="808080"/>
              <w:right w:val="single" w:sz="4" w:space="0" w:color="808080"/>
            </w:tcBorders>
          </w:tcPr>
          <w:p w14:paraId="1CB91B71" w14:textId="77777777" w:rsidR="00FF4609" w:rsidRDefault="00000000">
            <w:r>
              <w:rPr>
                <w:sz w:val="20"/>
                <w:szCs w:val="20"/>
              </w:rPr>
              <w:t xml:space="preserve">Owns a portfolio of clients; drives onboarding and day-to-day </w:t>
            </w:r>
            <w:proofErr w:type="gramStart"/>
            <w:r>
              <w:rPr>
                <w:sz w:val="20"/>
                <w:szCs w:val="20"/>
              </w:rPr>
              <w:t>servicing</w:t>
            </w:r>
            <w:proofErr w:type="gramEnd"/>
            <w:r>
              <w:rPr>
                <w:sz w:val="20"/>
                <w:szCs w:val="20"/>
              </w:rPr>
              <w:t xml:space="preserve"> for assigned accounts</w:t>
            </w:r>
          </w:p>
        </w:tc>
      </w:tr>
      <w:tr w:rsidR="00FF4609" w14:paraId="4BD4665F"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Pr>
          <w:p w14:paraId="35F11CD2" w14:textId="77777777" w:rsidR="00FF4609" w:rsidRDefault="00000000">
            <w:r>
              <w:rPr>
                <w:sz w:val="20"/>
                <w:szCs w:val="20"/>
              </w:rPr>
              <w:t>Operations (Ops)</w:t>
            </w:r>
          </w:p>
        </w:tc>
        <w:tc>
          <w:tcPr>
            <w:tcW w:w="5800" w:type="dxa"/>
            <w:tcBorders>
              <w:top w:val="single" w:sz="4" w:space="0" w:color="808080"/>
              <w:left w:val="single" w:sz="4" w:space="0" w:color="808080"/>
              <w:bottom w:val="single" w:sz="4" w:space="0" w:color="808080"/>
              <w:right w:val="single" w:sz="4" w:space="0" w:color="808080"/>
            </w:tcBorders>
          </w:tcPr>
          <w:p w14:paraId="7DEB6D7E" w14:textId="77777777" w:rsidR="00FF4609" w:rsidRDefault="00000000">
            <w:r>
              <w:rPr>
                <w:sz w:val="20"/>
                <w:szCs w:val="20"/>
              </w:rPr>
              <w:t>Handles post-CDD processing — formation submission, compliance filings, document generation</w:t>
            </w:r>
          </w:p>
        </w:tc>
      </w:tr>
      <w:tr w:rsidR="00FF4609" w14:paraId="5A7ACAB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Pr>
          <w:p w14:paraId="2E681E0F" w14:textId="77777777" w:rsidR="00FF4609" w:rsidRDefault="00000000">
            <w:r>
              <w:rPr>
                <w:sz w:val="20"/>
                <w:szCs w:val="20"/>
              </w:rPr>
              <w:t>Screening</w:t>
            </w:r>
          </w:p>
        </w:tc>
        <w:tc>
          <w:tcPr>
            <w:tcW w:w="5800" w:type="dxa"/>
            <w:tcBorders>
              <w:top w:val="single" w:sz="4" w:space="0" w:color="808080"/>
              <w:left w:val="single" w:sz="4" w:space="0" w:color="808080"/>
              <w:bottom w:val="single" w:sz="4" w:space="0" w:color="808080"/>
              <w:right w:val="single" w:sz="4" w:space="0" w:color="808080"/>
            </w:tcBorders>
          </w:tcPr>
          <w:p w14:paraId="6B55ED3A" w14:textId="77777777" w:rsidR="00FF4609" w:rsidRDefault="00000000">
            <w:r>
              <w:rPr>
                <w:sz w:val="20"/>
                <w:szCs w:val="20"/>
              </w:rPr>
              <w:t>Performs AML/PEP screening checks ahead of formation</w:t>
            </w:r>
          </w:p>
        </w:tc>
      </w:tr>
    </w:tbl>
    <w:p w14:paraId="33BFF067" w14:textId="77777777" w:rsidR="00FF4609" w:rsidRDefault="00000000">
      <w:pPr>
        <w:spacing w:before="160" w:after="160"/>
      </w:pPr>
      <w:r>
        <w:t>Each role sees only the functions and data relevant to it. A Client record can carry a named Single Point of Contact — an RM — used to scope that RM's visibility to their own portfolio.</w:t>
      </w:r>
    </w:p>
    <w:p w14:paraId="6576670C" w14:textId="77777777" w:rsidR="00FF4609" w:rsidRDefault="00000000">
      <w:pPr>
        <w:pStyle w:val="Heading1"/>
        <w:spacing w:before="360" w:after="200"/>
      </w:pPr>
      <w:bookmarkStart w:id="15" w:name="_Toc241240717"/>
      <w:r>
        <w:rPr>
          <w:b/>
          <w:bCs/>
          <w:color w:val="000000"/>
          <w:sz w:val="30"/>
          <w:szCs w:val="30"/>
        </w:rPr>
        <w:lastRenderedPageBreak/>
        <w:t>8. Key Business Rules Enforced by the System</w:t>
      </w:r>
      <w:bookmarkEnd w:id="15"/>
    </w:p>
    <w:p w14:paraId="0A5C2A14" w14:textId="77777777" w:rsidR="00FF4609" w:rsidRDefault="00000000">
      <w:pPr>
        <w:pStyle w:val="ListParagraph"/>
        <w:numPr>
          <w:ilvl w:val="0"/>
          <w:numId w:val="2"/>
        </w:numPr>
        <w:spacing w:after="100"/>
      </w:pPr>
      <w:r>
        <w:t>A Corporate client's shareholder ownership must total exactly 100% before its profile can move to Approved or Active.</w:t>
      </w:r>
    </w:p>
    <w:p w14:paraId="0CC6F844" w14:textId="77777777" w:rsidR="00FF4609" w:rsidRDefault="00000000">
      <w:pPr>
        <w:pStyle w:val="ListParagraph"/>
        <w:numPr>
          <w:ilvl w:val="0"/>
          <w:numId w:val="2"/>
        </w:numPr>
        <w:spacing w:after="100"/>
      </w:pPr>
      <w:r>
        <w:t xml:space="preserve">An EDD (Enhanced Due Diligence) classification requires a documented reason, in the short form </w:t>
      </w:r>
      <w:proofErr w:type="spellStart"/>
      <w:r>
        <w:t>Triam's</w:t>
      </w:r>
      <w:proofErr w:type="spellEnd"/>
      <w:r>
        <w:t xml:space="preserve"> tracker uses.</w:t>
      </w:r>
    </w:p>
    <w:p w14:paraId="482F089E" w14:textId="77777777" w:rsidR="00FF4609" w:rsidRDefault="00000000">
      <w:pPr>
        <w:pStyle w:val="ListParagraph"/>
        <w:numPr>
          <w:ilvl w:val="0"/>
          <w:numId w:val="2"/>
        </w:numPr>
        <w:spacing w:after="100"/>
      </w:pPr>
      <w:r>
        <w:t>CDD document uploads are capped by size and restricted to image, PDF, and standard office file formats.</w:t>
      </w:r>
    </w:p>
    <w:p w14:paraId="4F6A6CEA" w14:textId="77777777" w:rsidR="00FF4609" w:rsidRDefault="00000000">
      <w:pPr>
        <w:pStyle w:val="ListParagraph"/>
        <w:numPr>
          <w:ilvl w:val="0"/>
          <w:numId w:val="2"/>
        </w:numPr>
        <w:spacing w:after="100"/>
      </w:pPr>
      <w:r>
        <w:t>The next AML review date is calculated automatically from the risk rating and CDD completion date — annually for High risk, every two years for Medium, every three years for Low.</w:t>
      </w:r>
    </w:p>
    <w:p w14:paraId="40E12CD7" w14:textId="77777777" w:rsidR="00FF4609" w:rsidRDefault="00000000">
      <w:pPr>
        <w:pStyle w:val="ListParagraph"/>
        <w:numPr>
          <w:ilvl w:val="0"/>
          <w:numId w:val="2"/>
        </w:numPr>
        <w:spacing w:after="100"/>
      </w:pPr>
      <w:r>
        <w:t>Case stages move forward only, one step at a time — no skipping ahead.</w:t>
      </w:r>
    </w:p>
    <w:p w14:paraId="19821A29" w14:textId="77777777" w:rsidR="00FF4609" w:rsidRDefault="00000000">
      <w:pPr>
        <w:pStyle w:val="Heading1"/>
        <w:spacing w:before="360" w:after="200"/>
      </w:pPr>
      <w:bookmarkStart w:id="16" w:name="_Toc241240718"/>
      <w:r>
        <w:rPr>
          <w:b/>
          <w:bCs/>
          <w:color w:val="000000"/>
          <w:sz w:val="30"/>
          <w:szCs w:val="30"/>
        </w:rPr>
        <w:t>9. Benefits</w:t>
      </w:r>
      <w:bookmarkEnd w:id="16"/>
    </w:p>
    <w:p w14:paraId="2F325982" w14:textId="77777777" w:rsidR="00FF4609" w:rsidRDefault="00000000">
      <w:pPr>
        <w:pStyle w:val="ListParagraph"/>
        <w:numPr>
          <w:ilvl w:val="0"/>
          <w:numId w:val="2"/>
        </w:numPr>
        <w:spacing w:after="100"/>
      </w:pPr>
      <w:r>
        <w:t xml:space="preserve">One system of </w:t>
      </w:r>
      <w:proofErr w:type="gramStart"/>
      <w:r>
        <w:t>record</w:t>
      </w:r>
      <w:proofErr w:type="gramEnd"/>
      <w:r>
        <w:t xml:space="preserve"> in place of a shared spreadsheet, cutting version conflicts and manual re-entry.</w:t>
      </w:r>
    </w:p>
    <w:p w14:paraId="39A0960F" w14:textId="77777777" w:rsidR="00FF4609" w:rsidRDefault="00000000">
      <w:pPr>
        <w:pStyle w:val="ListParagraph"/>
        <w:numPr>
          <w:ilvl w:val="0"/>
          <w:numId w:val="2"/>
        </w:numPr>
        <w:spacing w:after="100"/>
      </w:pPr>
      <w:r>
        <w:t>Compliance deadlines tracked and surfaced automatically instead of relying on manual diary entries.</w:t>
      </w:r>
    </w:p>
    <w:p w14:paraId="60A9A260" w14:textId="77777777" w:rsidR="00FF4609" w:rsidRDefault="00000000">
      <w:pPr>
        <w:pStyle w:val="ListParagraph"/>
        <w:numPr>
          <w:ilvl w:val="0"/>
          <w:numId w:val="2"/>
        </w:numPr>
        <w:spacing w:after="100"/>
      </w:pPr>
      <w:r>
        <w:t>AML risk scoring applied consistently, not left to individual RM judgment.</w:t>
      </w:r>
    </w:p>
    <w:p w14:paraId="66C7306A" w14:textId="77777777" w:rsidR="00FF4609" w:rsidRDefault="00000000">
      <w:pPr>
        <w:pStyle w:val="ListParagraph"/>
        <w:numPr>
          <w:ilvl w:val="0"/>
          <w:numId w:val="2"/>
        </w:numPr>
        <w:spacing w:after="100"/>
      </w:pPr>
      <w:r>
        <w:t>Real-time visibility into caseload, revenue, and outstanding compliance across the whole client book.</w:t>
      </w:r>
    </w:p>
    <w:p w14:paraId="02992FCC" w14:textId="77777777" w:rsidR="00FF4609" w:rsidRDefault="00000000">
      <w:pPr>
        <w:pStyle w:val="ListParagraph"/>
        <w:numPr>
          <w:ilvl w:val="0"/>
          <w:numId w:val="2"/>
        </w:numPr>
        <w:spacing w:after="100"/>
      </w:pPr>
      <w:r>
        <w:t>Every decision — CDD approval, risk rating, ownership sign-off — carries a timestamp and an attributable user.</w:t>
      </w:r>
    </w:p>
    <w:p w14:paraId="49CB5E0E" w14:textId="77777777" w:rsidR="00FF4609" w:rsidRDefault="00000000">
      <w:pPr>
        <w:pStyle w:val="Heading1"/>
        <w:spacing w:before="360" w:after="200"/>
      </w:pPr>
      <w:bookmarkStart w:id="17" w:name="_Toc241240719"/>
      <w:r>
        <w:rPr>
          <w:b/>
          <w:bCs/>
          <w:color w:val="000000"/>
          <w:sz w:val="30"/>
          <w:szCs w:val="30"/>
        </w:rPr>
        <w:t>10. Assumptions and Constraints</w:t>
      </w:r>
      <w:bookmarkEnd w:id="17"/>
    </w:p>
    <w:p w14:paraId="19E41ABA" w14:textId="77777777" w:rsidR="00FF4609" w:rsidRDefault="00000000">
      <w:pPr>
        <w:pStyle w:val="ListParagraph"/>
        <w:numPr>
          <w:ilvl w:val="0"/>
          <w:numId w:val="2"/>
        </w:numPr>
        <w:spacing w:after="100"/>
      </w:pPr>
      <w:r>
        <w:t>Users access the system through a standard web browser; there is no client-facing portal in this phase.</w:t>
      </w:r>
    </w:p>
    <w:p w14:paraId="5EE221AB" w14:textId="77777777" w:rsidR="00FF4609" w:rsidRDefault="00000000">
      <w:pPr>
        <w:pStyle w:val="ListParagraph"/>
        <w:numPr>
          <w:ilvl w:val="0"/>
          <w:numId w:val="2"/>
        </w:numPr>
        <w:spacing w:after="100"/>
      </w:pPr>
      <w:r>
        <w:t xml:space="preserve">The </w:t>
      </w:r>
      <w:proofErr w:type="spellStart"/>
      <w:r>
        <w:t>Triam</w:t>
      </w:r>
      <w:proofErr w:type="spellEnd"/>
      <w:r>
        <w:t xml:space="preserve"> ↔ Vistra leg of every process remains a manual round-trip (email/portal), tracked inside the CRM rather than automated end-to-end.</w:t>
      </w:r>
    </w:p>
    <w:p w14:paraId="24327DA1" w14:textId="77777777" w:rsidR="00FF4609" w:rsidRDefault="00000000">
      <w:pPr>
        <w:pStyle w:val="ListParagraph"/>
        <w:numPr>
          <w:ilvl w:val="0"/>
          <w:numId w:val="2"/>
        </w:numPr>
        <w:spacing w:after="100"/>
      </w:pPr>
      <w:r>
        <w:t>Country-risk and AML matrix reference data require periodic manual refresh in line with FATF plenary updates.</w:t>
      </w:r>
    </w:p>
    <w:p w14:paraId="400A6188" w14:textId="77777777" w:rsidR="00FF4609" w:rsidRDefault="00000000">
      <w:pPr>
        <w:pStyle w:val="Heading1"/>
        <w:spacing w:before="360" w:after="200"/>
      </w:pPr>
      <w:bookmarkStart w:id="18" w:name="_Toc241240720"/>
      <w:r>
        <w:rPr>
          <w:b/>
          <w:bCs/>
          <w:color w:val="000000"/>
          <w:sz w:val="30"/>
          <w:szCs w:val="30"/>
        </w:rPr>
        <w:t>11. Glossary</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FF4609" w14:paraId="330F476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Pr>
          <w:p w14:paraId="694C624A" w14:textId="77777777" w:rsidR="00FF4609" w:rsidRDefault="00000000">
            <w:r>
              <w:rPr>
                <w:b/>
                <w:bCs/>
                <w:sz w:val="20"/>
                <w:szCs w:val="20"/>
              </w:rPr>
              <w:t>Term</w:t>
            </w:r>
          </w:p>
        </w:tc>
        <w:tc>
          <w:tcPr>
            <w:tcW w:w="6800" w:type="dxa"/>
            <w:tcBorders>
              <w:top w:val="single" w:sz="4" w:space="0" w:color="808080"/>
              <w:left w:val="single" w:sz="4" w:space="0" w:color="808080"/>
              <w:bottom w:val="single" w:sz="4" w:space="0" w:color="808080"/>
              <w:right w:val="single" w:sz="4" w:space="0" w:color="808080"/>
            </w:tcBorders>
            <w:shd w:val="clear" w:color="auto" w:fill="E7E6E6"/>
          </w:tcPr>
          <w:p w14:paraId="3263A074" w14:textId="77777777" w:rsidR="00FF4609" w:rsidRDefault="00000000">
            <w:r>
              <w:rPr>
                <w:b/>
                <w:bCs/>
                <w:sz w:val="20"/>
                <w:szCs w:val="20"/>
              </w:rPr>
              <w:t>Meaning</w:t>
            </w:r>
          </w:p>
        </w:tc>
      </w:tr>
      <w:tr w:rsidR="00FF4609" w14:paraId="5E3CF7E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6C32016B" w14:textId="77777777" w:rsidR="00FF4609" w:rsidRDefault="00000000">
            <w:r>
              <w:rPr>
                <w:sz w:val="20"/>
                <w:szCs w:val="20"/>
              </w:rPr>
              <w:t>RA</w:t>
            </w:r>
          </w:p>
        </w:tc>
        <w:tc>
          <w:tcPr>
            <w:tcW w:w="6800" w:type="dxa"/>
            <w:tcBorders>
              <w:top w:val="single" w:sz="4" w:space="0" w:color="808080"/>
              <w:left w:val="single" w:sz="4" w:space="0" w:color="808080"/>
              <w:bottom w:val="single" w:sz="4" w:space="0" w:color="808080"/>
              <w:right w:val="single" w:sz="4" w:space="0" w:color="808080"/>
            </w:tcBorders>
          </w:tcPr>
          <w:p w14:paraId="556D5404" w14:textId="77777777" w:rsidR="00FF4609" w:rsidRDefault="00000000">
            <w:r>
              <w:rPr>
                <w:sz w:val="20"/>
                <w:szCs w:val="20"/>
              </w:rPr>
              <w:t>Registered Agent — Vistra, for BVI entities</w:t>
            </w:r>
          </w:p>
        </w:tc>
      </w:tr>
      <w:tr w:rsidR="00FF4609" w14:paraId="3FC429B0"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63FEC8E2" w14:textId="77777777" w:rsidR="00FF4609" w:rsidRDefault="00000000">
            <w:r>
              <w:rPr>
                <w:sz w:val="20"/>
                <w:szCs w:val="20"/>
              </w:rPr>
              <w:t>CDD / KYC</w:t>
            </w:r>
          </w:p>
        </w:tc>
        <w:tc>
          <w:tcPr>
            <w:tcW w:w="6800" w:type="dxa"/>
            <w:tcBorders>
              <w:top w:val="single" w:sz="4" w:space="0" w:color="808080"/>
              <w:left w:val="single" w:sz="4" w:space="0" w:color="808080"/>
              <w:bottom w:val="single" w:sz="4" w:space="0" w:color="808080"/>
              <w:right w:val="single" w:sz="4" w:space="0" w:color="808080"/>
            </w:tcBorders>
          </w:tcPr>
          <w:p w14:paraId="406D64E3" w14:textId="77777777" w:rsidR="00FF4609" w:rsidRDefault="00000000">
            <w:r>
              <w:rPr>
                <w:sz w:val="20"/>
                <w:szCs w:val="20"/>
              </w:rPr>
              <w:t>Customer Due Diligence / Know Your Customer</w:t>
            </w:r>
          </w:p>
        </w:tc>
      </w:tr>
      <w:tr w:rsidR="00FF4609" w14:paraId="7F511FC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63801AE1" w14:textId="77777777" w:rsidR="00FF4609" w:rsidRDefault="00000000">
            <w:r>
              <w:rPr>
                <w:sz w:val="20"/>
                <w:szCs w:val="20"/>
              </w:rPr>
              <w:t>UBO</w:t>
            </w:r>
          </w:p>
        </w:tc>
        <w:tc>
          <w:tcPr>
            <w:tcW w:w="6800" w:type="dxa"/>
            <w:tcBorders>
              <w:top w:val="single" w:sz="4" w:space="0" w:color="808080"/>
              <w:left w:val="single" w:sz="4" w:space="0" w:color="808080"/>
              <w:bottom w:val="single" w:sz="4" w:space="0" w:color="808080"/>
              <w:right w:val="single" w:sz="4" w:space="0" w:color="808080"/>
            </w:tcBorders>
          </w:tcPr>
          <w:p w14:paraId="449410B1" w14:textId="77777777" w:rsidR="00FF4609" w:rsidRDefault="00000000">
            <w:r>
              <w:rPr>
                <w:sz w:val="20"/>
                <w:szCs w:val="20"/>
              </w:rPr>
              <w:t>Ultimate Beneficial Owner</w:t>
            </w:r>
          </w:p>
        </w:tc>
      </w:tr>
      <w:tr w:rsidR="00FF4609" w14:paraId="4F0F001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663E02F1" w14:textId="77777777" w:rsidR="00FF4609" w:rsidRDefault="00000000">
            <w:r>
              <w:rPr>
                <w:sz w:val="20"/>
                <w:szCs w:val="20"/>
              </w:rPr>
              <w:t>PEP</w:t>
            </w:r>
          </w:p>
        </w:tc>
        <w:tc>
          <w:tcPr>
            <w:tcW w:w="6800" w:type="dxa"/>
            <w:tcBorders>
              <w:top w:val="single" w:sz="4" w:space="0" w:color="808080"/>
              <w:left w:val="single" w:sz="4" w:space="0" w:color="808080"/>
              <w:bottom w:val="single" w:sz="4" w:space="0" w:color="808080"/>
              <w:right w:val="single" w:sz="4" w:space="0" w:color="808080"/>
            </w:tcBorders>
          </w:tcPr>
          <w:p w14:paraId="7403C0F9" w14:textId="77777777" w:rsidR="00FF4609" w:rsidRDefault="00000000">
            <w:r>
              <w:rPr>
                <w:sz w:val="20"/>
                <w:szCs w:val="20"/>
              </w:rPr>
              <w:t>Politically Exposed Person</w:t>
            </w:r>
          </w:p>
        </w:tc>
      </w:tr>
      <w:tr w:rsidR="00FF4609" w14:paraId="51732DD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0D83B1CD" w14:textId="77777777" w:rsidR="00FF4609" w:rsidRDefault="00000000">
            <w:r>
              <w:rPr>
                <w:sz w:val="20"/>
                <w:szCs w:val="20"/>
              </w:rPr>
              <w:lastRenderedPageBreak/>
              <w:t>ESR</w:t>
            </w:r>
          </w:p>
        </w:tc>
        <w:tc>
          <w:tcPr>
            <w:tcW w:w="6800" w:type="dxa"/>
            <w:tcBorders>
              <w:top w:val="single" w:sz="4" w:space="0" w:color="808080"/>
              <w:left w:val="single" w:sz="4" w:space="0" w:color="808080"/>
              <w:bottom w:val="single" w:sz="4" w:space="0" w:color="808080"/>
              <w:right w:val="single" w:sz="4" w:space="0" w:color="808080"/>
            </w:tcBorders>
          </w:tcPr>
          <w:p w14:paraId="1048BC79" w14:textId="77777777" w:rsidR="00FF4609" w:rsidRDefault="00000000">
            <w:r>
              <w:rPr>
                <w:sz w:val="20"/>
                <w:szCs w:val="20"/>
              </w:rPr>
              <w:t>Economic Substance Regulations — the annual filing they require</w:t>
            </w:r>
          </w:p>
        </w:tc>
      </w:tr>
      <w:tr w:rsidR="00FF4609" w14:paraId="45849C6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4AB39B87" w14:textId="77777777" w:rsidR="00FF4609" w:rsidRDefault="00000000">
            <w:r>
              <w:rPr>
                <w:sz w:val="20"/>
                <w:szCs w:val="20"/>
              </w:rPr>
              <w:t>AR</w:t>
            </w:r>
          </w:p>
        </w:tc>
        <w:tc>
          <w:tcPr>
            <w:tcW w:w="6800" w:type="dxa"/>
            <w:tcBorders>
              <w:top w:val="single" w:sz="4" w:space="0" w:color="808080"/>
              <w:left w:val="single" w:sz="4" w:space="0" w:color="808080"/>
              <w:bottom w:val="single" w:sz="4" w:space="0" w:color="808080"/>
              <w:right w:val="single" w:sz="4" w:space="0" w:color="808080"/>
            </w:tcBorders>
          </w:tcPr>
          <w:p w14:paraId="676269E0" w14:textId="77777777" w:rsidR="00FF4609" w:rsidRDefault="00000000">
            <w:r>
              <w:rPr>
                <w:sz w:val="20"/>
                <w:szCs w:val="20"/>
              </w:rPr>
              <w:t>Annual Return</w:t>
            </w:r>
          </w:p>
        </w:tc>
      </w:tr>
      <w:tr w:rsidR="00FF4609" w14:paraId="4D5B15B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0B71EA93" w14:textId="77777777" w:rsidR="00FF4609" w:rsidRDefault="00000000">
            <w:r>
              <w:rPr>
                <w:sz w:val="20"/>
                <w:szCs w:val="20"/>
              </w:rPr>
              <w:t>ROM / RBO</w:t>
            </w:r>
          </w:p>
        </w:tc>
        <w:tc>
          <w:tcPr>
            <w:tcW w:w="6800" w:type="dxa"/>
            <w:tcBorders>
              <w:top w:val="single" w:sz="4" w:space="0" w:color="808080"/>
              <w:left w:val="single" w:sz="4" w:space="0" w:color="808080"/>
              <w:bottom w:val="single" w:sz="4" w:space="0" w:color="808080"/>
              <w:right w:val="single" w:sz="4" w:space="0" w:color="808080"/>
            </w:tcBorders>
          </w:tcPr>
          <w:p w14:paraId="2C40CF3D" w14:textId="77777777" w:rsidR="00FF4609" w:rsidRDefault="00000000">
            <w:r>
              <w:rPr>
                <w:sz w:val="20"/>
                <w:szCs w:val="20"/>
              </w:rPr>
              <w:t>Register of Members / Register of Beneficial Owners filing</w:t>
            </w:r>
          </w:p>
        </w:tc>
      </w:tr>
      <w:tr w:rsidR="00FF4609" w14:paraId="49BB26CB"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3A5D4DBF" w14:textId="77777777" w:rsidR="00FF4609" w:rsidRDefault="00000000">
            <w:r>
              <w:rPr>
                <w:sz w:val="20"/>
                <w:szCs w:val="20"/>
              </w:rPr>
              <w:t>ALF</w:t>
            </w:r>
          </w:p>
        </w:tc>
        <w:tc>
          <w:tcPr>
            <w:tcW w:w="6800" w:type="dxa"/>
            <w:tcBorders>
              <w:top w:val="single" w:sz="4" w:space="0" w:color="808080"/>
              <w:left w:val="single" w:sz="4" w:space="0" w:color="808080"/>
              <w:bottom w:val="single" w:sz="4" w:space="0" w:color="808080"/>
              <w:right w:val="single" w:sz="4" w:space="0" w:color="808080"/>
            </w:tcBorders>
          </w:tcPr>
          <w:p w14:paraId="287C75AD" w14:textId="77777777" w:rsidR="00FF4609" w:rsidRDefault="00000000">
            <w:r>
              <w:rPr>
                <w:sz w:val="20"/>
                <w:szCs w:val="20"/>
              </w:rPr>
              <w:t xml:space="preserve">Annual </w:t>
            </w:r>
            <w:proofErr w:type="spellStart"/>
            <w:r>
              <w:rPr>
                <w:sz w:val="20"/>
                <w:szCs w:val="20"/>
              </w:rPr>
              <w:t>Licence</w:t>
            </w:r>
            <w:proofErr w:type="spellEnd"/>
            <w:r>
              <w:rPr>
                <w:sz w:val="20"/>
                <w:szCs w:val="20"/>
              </w:rPr>
              <w:t xml:space="preserve"> Fee</w:t>
            </w:r>
          </w:p>
        </w:tc>
      </w:tr>
      <w:tr w:rsidR="00FF4609" w14:paraId="4509990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2BCC1563" w14:textId="77777777" w:rsidR="00FF4609" w:rsidRDefault="00000000">
            <w:r>
              <w:rPr>
                <w:sz w:val="20"/>
                <w:szCs w:val="20"/>
              </w:rPr>
              <w:t>SPOC</w:t>
            </w:r>
          </w:p>
        </w:tc>
        <w:tc>
          <w:tcPr>
            <w:tcW w:w="6800" w:type="dxa"/>
            <w:tcBorders>
              <w:top w:val="single" w:sz="4" w:space="0" w:color="808080"/>
              <w:left w:val="single" w:sz="4" w:space="0" w:color="808080"/>
              <w:bottom w:val="single" w:sz="4" w:space="0" w:color="808080"/>
              <w:right w:val="single" w:sz="4" w:space="0" w:color="808080"/>
            </w:tcBorders>
          </w:tcPr>
          <w:p w14:paraId="4F5D300F" w14:textId="77777777" w:rsidR="00FF4609" w:rsidRDefault="00000000">
            <w:r>
              <w:rPr>
                <w:sz w:val="20"/>
                <w:szCs w:val="20"/>
              </w:rPr>
              <w:t>Single Point of Contact</w:t>
            </w:r>
          </w:p>
        </w:tc>
      </w:tr>
      <w:tr w:rsidR="00FF4609" w14:paraId="773684A0"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Pr>
          <w:p w14:paraId="1C405266" w14:textId="77777777" w:rsidR="00FF4609" w:rsidRDefault="00000000">
            <w:r>
              <w:rPr>
                <w:sz w:val="20"/>
                <w:szCs w:val="20"/>
              </w:rPr>
              <w:t>MLRO</w:t>
            </w:r>
          </w:p>
        </w:tc>
        <w:tc>
          <w:tcPr>
            <w:tcW w:w="6800" w:type="dxa"/>
            <w:tcBorders>
              <w:top w:val="single" w:sz="4" w:space="0" w:color="808080"/>
              <w:left w:val="single" w:sz="4" w:space="0" w:color="808080"/>
              <w:bottom w:val="single" w:sz="4" w:space="0" w:color="808080"/>
              <w:right w:val="single" w:sz="4" w:space="0" w:color="808080"/>
            </w:tcBorders>
          </w:tcPr>
          <w:p w14:paraId="6AA5D703" w14:textId="77777777" w:rsidR="00FF4609" w:rsidRDefault="00000000">
            <w:r>
              <w:rPr>
                <w:sz w:val="20"/>
                <w:szCs w:val="20"/>
              </w:rPr>
              <w:t>Money Laundering Reporting Officer</w:t>
            </w:r>
          </w:p>
        </w:tc>
      </w:tr>
    </w:tbl>
    <w:p w14:paraId="018AD59B" w14:textId="77777777" w:rsidR="00080979" w:rsidRDefault="00080979"/>
    <w:sectPr w:rsidR="00080979">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A60E7" w14:textId="77777777" w:rsidR="00080979" w:rsidRDefault="00080979">
      <w:pPr>
        <w:spacing w:line="240" w:lineRule="auto"/>
      </w:pPr>
      <w:r>
        <w:separator/>
      </w:r>
    </w:p>
  </w:endnote>
  <w:endnote w:type="continuationSeparator" w:id="0">
    <w:p w14:paraId="47EB7D49" w14:textId="77777777" w:rsidR="00080979" w:rsidRDefault="00080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2C52" w14:textId="77777777" w:rsidR="00FF460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95751">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E95751">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B61D" w14:textId="77777777" w:rsidR="00080979" w:rsidRDefault="00080979">
      <w:pPr>
        <w:spacing w:line="240" w:lineRule="auto"/>
      </w:pPr>
      <w:r>
        <w:separator/>
      </w:r>
    </w:p>
  </w:footnote>
  <w:footnote w:type="continuationSeparator" w:id="0">
    <w:p w14:paraId="72E0B56E" w14:textId="77777777" w:rsidR="00080979" w:rsidRDefault="00080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73E2" w14:textId="77777777" w:rsidR="00FF4609" w:rsidRDefault="00000000">
    <w:pPr>
      <w:jc w:val="right"/>
    </w:pPr>
    <w:r>
      <w:rPr>
        <w:color w:val="595959"/>
        <w:sz w:val="20"/>
        <w:szCs w:val="20"/>
      </w:rPr>
      <w:t>Business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C197E"/>
    <w:multiLevelType w:val="hybridMultilevel"/>
    <w:tmpl w:val="9F18FBE2"/>
    <w:lvl w:ilvl="0" w:tplc="C1D6C6C8">
      <w:start w:val="1"/>
      <w:numFmt w:val="bullet"/>
      <w:lvlText w:val="●"/>
      <w:lvlJc w:val="left"/>
      <w:pPr>
        <w:ind w:left="720" w:hanging="360"/>
      </w:pPr>
    </w:lvl>
    <w:lvl w:ilvl="1" w:tplc="8FF8AEC6">
      <w:start w:val="1"/>
      <w:numFmt w:val="bullet"/>
      <w:lvlText w:val="○"/>
      <w:lvlJc w:val="left"/>
      <w:pPr>
        <w:ind w:left="1440" w:hanging="360"/>
      </w:pPr>
    </w:lvl>
    <w:lvl w:ilvl="2" w:tplc="7228C28E">
      <w:start w:val="1"/>
      <w:numFmt w:val="bullet"/>
      <w:lvlText w:val="■"/>
      <w:lvlJc w:val="left"/>
      <w:pPr>
        <w:ind w:left="2160" w:hanging="360"/>
      </w:pPr>
    </w:lvl>
    <w:lvl w:ilvl="3" w:tplc="5F14FE36">
      <w:start w:val="1"/>
      <w:numFmt w:val="bullet"/>
      <w:lvlText w:val="●"/>
      <w:lvlJc w:val="left"/>
      <w:pPr>
        <w:ind w:left="2880" w:hanging="360"/>
      </w:pPr>
    </w:lvl>
    <w:lvl w:ilvl="4" w:tplc="0E0C6254">
      <w:start w:val="1"/>
      <w:numFmt w:val="bullet"/>
      <w:lvlText w:val="○"/>
      <w:lvlJc w:val="left"/>
      <w:pPr>
        <w:ind w:left="3600" w:hanging="360"/>
      </w:pPr>
    </w:lvl>
    <w:lvl w:ilvl="5" w:tplc="88882ACA">
      <w:start w:val="1"/>
      <w:numFmt w:val="bullet"/>
      <w:lvlText w:val="■"/>
      <w:lvlJc w:val="left"/>
      <w:pPr>
        <w:ind w:left="4320" w:hanging="360"/>
      </w:pPr>
    </w:lvl>
    <w:lvl w:ilvl="6" w:tplc="F49A431C">
      <w:start w:val="1"/>
      <w:numFmt w:val="bullet"/>
      <w:lvlText w:val="●"/>
      <w:lvlJc w:val="left"/>
      <w:pPr>
        <w:ind w:left="5040" w:hanging="360"/>
      </w:pPr>
    </w:lvl>
    <w:lvl w:ilvl="7" w:tplc="19983468">
      <w:start w:val="1"/>
      <w:numFmt w:val="bullet"/>
      <w:lvlText w:val="●"/>
      <w:lvlJc w:val="left"/>
      <w:pPr>
        <w:ind w:left="5760" w:hanging="360"/>
      </w:pPr>
    </w:lvl>
    <w:lvl w:ilvl="8" w:tplc="DEFE6BC2">
      <w:start w:val="1"/>
      <w:numFmt w:val="bullet"/>
      <w:lvlText w:val="●"/>
      <w:lvlJc w:val="left"/>
      <w:pPr>
        <w:ind w:left="6480" w:hanging="360"/>
      </w:pPr>
    </w:lvl>
  </w:abstractNum>
  <w:abstractNum w:abstractNumId="1" w15:restartNumberingAfterBreak="0">
    <w:nsid w:val="7A9C7606"/>
    <w:multiLevelType w:val="hybridMultilevel"/>
    <w:tmpl w:val="40F4205C"/>
    <w:lvl w:ilvl="0" w:tplc="EB3E359C">
      <w:start w:val="1"/>
      <w:numFmt w:val="bullet"/>
      <w:lvlText w:val="•"/>
      <w:lvlJc w:val="left"/>
      <w:pPr>
        <w:ind w:left="720" w:hanging="260"/>
      </w:pPr>
    </w:lvl>
    <w:lvl w:ilvl="1" w:tplc="0E02C5FA">
      <w:start w:val="1"/>
      <w:numFmt w:val="bullet"/>
      <w:lvlText w:val="–"/>
      <w:lvlJc w:val="left"/>
      <w:pPr>
        <w:ind w:left="1080" w:hanging="260"/>
      </w:pPr>
    </w:lvl>
    <w:lvl w:ilvl="2" w:tplc="C338F4CC">
      <w:numFmt w:val="decimal"/>
      <w:lvlText w:val=""/>
      <w:lvlJc w:val="left"/>
    </w:lvl>
    <w:lvl w:ilvl="3" w:tplc="DD6E5D62">
      <w:numFmt w:val="decimal"/>
      <w:lvlText w:val=""/>
      <w:lvlJc w:val="left"/>
    </w:lvl>
    <w:lvl w:ilvl="4" w:tplc="EA52FE3C">
      <w:numFmt w:val="decimal"/>
      <w:lvlText w:val=""/>
      <w:lvlJc w:val="left"/>
    </w:lvl>
    <w:lvl w:ilvl="5" w:tplc="D96E057C">
      <w:numFmt w:val="decimal"/>
      <w:lvlText w:val=""/>
      <w:lvlJc w:val="left"/>
    </w:lvl>
    <w:lvl w:ilvl="6" w:tplc="B30A3306">
      <w:numFmt w:val="decimal"/>
      <w:lvlText w:val=""/>
      <w:lvlJc w:val="left"/>
    </w:lvl>
    <w:lvl w:ilvl="7" w:tplc="DF8A67E4">
      <w:numFmt w:val="decimal"/>
      <w:lvlText w:val=""/>
      <w:lvlJc w:val="left"/>
    </w:lvl>
    <w:lvl w:ilvl="8" w:tplc="F1A61C22">
      <w:numFmt w:val="decimal"/>
      <w:lvlText w:val=""/>
      <w:lvlJc w:val="left"/>
    </w:lvl>
  </w:abstractNum>
  <w:num w:numId="1" w16cid:durableId="82803842">
    <w:abstractNumId w:val="0"/>
    <w:lvlOverride w:ilvl="0">
      <w:startOverride w:val="1"/>
    </w:lvlOverride>
  </w:num>
  <w:num w:numId="2" w16cid:durableId="722562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609"/>
    <w:rsid w:val="00080979"/>
    <w:rsid w:val="00C30A74"/>
    <w:rsid w:val="00E95751"/>
    <w:rsid w:val="00FF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34EF"/>
  <w15:docId w15:val="{D7EF7187-C723-41C8-AE9F-D346CA68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5751"/>
    <w:pPr>
      <w:spacing w:after="100"/>
    </w:pPr>
  </w:style>
  <w:style w:type="paragraph" w:styleId="TOC2">
    <w:name w:val="toc 2"/>
    <w:basedOn w:val="Normal"/>
    <w:next w:val="Normal"/>
    <w:autoRedefine/>
    <w:uiPriority w:val="39"/>
    <w:unhideWhenUsed/>
    <w:rsid w:val="00E9575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1630</Words>
  <Characters>9294</Characters>
  <Application>Microsoft Office Word</Application>
  <DocSecurity>0</DocSecurity>
  <Lines>77</Lines>
  <Paragraphs>21</Paragraphs>
  <ScaleCrop>false</ScaleCrop>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Manohar Gannamani</cp:lastModifiedBy>
  <cp:revision>2</cp:revision>
  <dcterms:created xsi:type="dcterms:W3CDTF">2026-09-25T10:55:00Z</dcterms:created>
  <dcterms:modified xsi:type="dcterms:W3CDTF">2026-09-25T11:06:00Z</dcterms:modified>
</cp:coreProperties>
</file>