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A5C"/>
          <w:sz w:val="40"/>
          <w:szCs w:val="40"/>
        </w:rPr>
        <w:t xml:space="preserve">Triam CRM</w:t>
      </w:r>
    </w:p>
    <w:p>
      <w:pPr>
        <w:spacing w:after="200"/>
      </w:pPr>
      <w:r>
        <w:rPr>
          <w:color w:val="595959"/>
          <w:sz w:val="26"/>
          <w:szCs w:val="26"/>
        </w:rPr>
        <w:t xml:space="preserve">Project status, client scenarios and plan for the next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r>
              <w:rPr>
                <w:b/>
                <w:bCs/>
              </w:rPr>
              <w:t xml:space="preserve">Document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 and plan note</w:t>
            </w:r>
          </w:p>
        </w:tc>
      </w:tr>
      <w:tr>
        <w:trPr>
          <w:cantSplit/>
          <w:tblHeader w:val="false"/>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r>
              <w:rPr>
                <w:b/>
                <w:bCs/>
              </w:rPr>
              <w:t xml:space="preserve">Date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 September 2026</w:t>
            </w:r>
          </w:p>
        </w:tc>
      </w:tr>
      <w:tr>
        <w:trPr>
          <w:cantSplit/>
          <w:tblHeader w:val="false"/>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r>
              <w:rPr>
                <w:b/>
                <w:bCs/>
              </w:rPr>
              <w:t xml:space="preserve">Version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r>
      <w:tr>
        <w:trPr>
          <w:cantSplit/>
          <w:tblHeader w:val="false"/>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r>
              <w:rPr>
                <w:b/>
                <w:bCs/>
              </w:rPr>
              <w:t xml:space="preserve">Prepared by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false"/>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r>
              <w:rPr>
                <w:b/>
                <w:bCs/>
              </w:rPr>
              <w:t xml:space="preserve">For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Triam management</w:t>
            </w:r>
          </w:p>
        </w:tc>
      </w:tr>
    </w:tbl>
    <w:p>
      <w:pPr>
        <w:spacing w:after="120"/>
      </w:pPr>
    </w:p>
    <w:p>
      <w:pPr>
        <w:pStyle w:val="Heading1"/>
      </w:pPr>
      <w:r>
        <w:t xml:space="preserve">1. Purpose</w:t>
      </w:r>
    </w:p>
    <w:p>
      <w:pPr>
        <w:spacing w:after="120"/>
      </w:pPr>
      <w:r>
        <w:t xml:space="preserve">This note covers four things: where the CRM stands today, how it handles the three kinds of client Triam deals with, what is still outstanding, and what we plan to do over the next four weeks. The three client types are new company formations, clients already with Triam, and companies moving to Triam from another provider.</w:t>
      </w:r>
    </w:p>
    <w:p>
      <w:pPr>
        <w:spacing w:after="120"/>
      </w:pPr>
      <w:r>
        <w:t xml:space="preserve">Section 3 answers a specific question: when a company moves its services to Triam from another provider, does it have to start from scratch? The short answer is no, it should not. However, the system does not yet have a proper route for this, and section 3.3 explains what needs to be built.</w:t>
      </w:r>
    </w:p>
    <w:p>
      <w:pPr>
        <w:pStyle w:val="Heading1"/>
      </w:pPr>
      <w:r>
        <w:t xml:space="preserve">2. Where we are today</w:t>
      </w:r>
    </w:p>
    <w:p>
      <w:pPr>
        <w:spacing w:after="120"/>
      </w:pPr>
      <w:r>
        <w:rPr>
          <w:b/>
          <w:bCs/>
        </w:rPr>
        <w:t xml:space="preserve">Current phase: User Acceptance Testing (UAT), round 1.</w:t>
      </w:r>
    </w:p>
    <w:p>
      <w:pPr>
        <w:spacing w:after="120"/>
      </w:pPr>
      <w:r>
        <w:t xml:space="preserve">The core system is built and running on the live server. Triam's team went through it and sent back 21 change requests on 24 September. Fifteen of those are built and live, and one was a question we have answered. The remaining five are waiting on information from Triam, listed in section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338"/>
      </w:tblGrid>
      <w:tr>
        <w:trPr>
          <w:cantSplit/>
          <w:tblHeader/>
        </w:trPr>
        <w:tc>
          <w:tcPr>
            <w:tcW w:type="dxa" w:w="4300"/>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Phase</w:t>
            </w:r>
          </w:p>
        </w:tc>
        <w:tc>
          <w:tcPr>
            <w:tcW w:type="dxa" w:w="2000"/>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Period</w:t>
            </w:r>
          </w:p>
        </w:tc>
        <w:tc>
          <w:tcPr>
            <w:tcW w:type="dxa" w:w="3338"/>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Status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Core CRM build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Jul – Aug 2026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Complete</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profile expansion to match Triam's client database specification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 2026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Complete, except three items that need Triam's input</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UAT round 1 (21 change requests)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 – 26 Sep 2026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 built, 1 answered, 5 waiting on Triam</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Existing clients and transfer-in handling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Oct 2026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 Planned next</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migration from the Excel tracker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Oct 2026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 Planned next</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Go-live and parallel run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Oct 2026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Planned. See section 5</w:t>
            </w:r>
          </w:p>
        </w:tc>
      </w:tr>
    </w:tbl>
    <w:p>
      <w:pPr>
        <w:spacing w:after="120"/>
      </w:pPr>
    </w:p>
    <w:p>
      <w:pPr>
        <w:pStyle w:val="Heading2"/>
      </w:pPr>
      <w:r>
        <w:t xml:space="preserve">2.1 What the system covers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Module</w:t>
            </w:r>
          </w:p>
        </w:tc>
        <w:tc>
          <w:tcPr>
            <w:tcW w:type="dxa" w:w="7338"/>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What it does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Corporate and individual client profiles: shareholders, directors and signatories, licensing, addresses, tax, AML classification, Anchor and Non-anchor entity and RM, and attachments. Clients can be imported and exported as CSV.</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Prospects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Companies pitched but not yet signed. A won prospect becomes a case.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Cases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onboarding pipeline from first enquiry to an active company, with RM and Ops owners.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CDD / Screening</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CDD checklist, KYC verification, PEP assessment, and AML risk scoring on Triam's weighted matrix. Admins can grant time-limited exceptions.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Invoices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Raising and marking invoices paid, linked to the case stages.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Compliance calendar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Licence renewal, ESR, Annual Return (30 September) and ROM/RBO due dates per jurisdiction, with reminders.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Instruction Tracker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Replaces the Excel instruction log: the Vistra round-trip, the cost paid versus the charge billed, and the invoice link.</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Entity lifecycle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Closure, strike-off, restoration, and transfer out to another registered agent.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Uploads, plus generation of standard documents such as board resolutions.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Other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 Points, Activities, Reports, Dashboard, and Users and Departments.</w:t>
            </w:r>
          </w:p>
        </w:tc>
      </w:tr>
    </w:tbl>
    <w:p>
      <w:pPr>
        <w:pStyle w:val="Heading1"/>
      </w:pPr>
      <w:r>
        <w:t xml:space="preserve">3. How the CRM handles each type of client</w:t>
      </w:r>
    </w:p>
    <w:p>
      <w:pPr>
        <w:pStyle w:val="Heading2"/>
      </w:pPr>
      <w:r>
        <w:t xml:space="preserve">3.1 New company formation</w:t>
      </w:r>
    </w:p>
    <w:p>
      <w:pPr>
        <w:keepNext/>
        <w:pBdr>
          <w:left w:val="single" w:color="1A3A5C" w:sz="18" w:space="6"/>
        </w:pBdr>
        <w:shd w:fill="EEF2F7" w:color="auto" w:val="clear"/>
        <w:spacing w:after="160" w:before="60"/>
      </w:pPr>
      <w:r>
        <w:rPr>
          <w:b/>
          <w:bCs/>
          <w:color w:val="1A3A5C"/>
        </w:rPr>
        <w:t xml:space="preserve">Status:  </w:t>
      </w:r>
      <w:r>
        <w:t xml:space="preserve">Built and working.</w:t>
      </w:r>
    </w:p>
    <w:p>
      <w:pPr>
        <w:spacing w:after="120"/>
      </w:pPr>
      <w:r>
        <w:t xml:space="preserve">A new formation follows a fixed sequence of stages. The system will not let a case skip a step that matters.</w:t>
      </w:r>
    </w:p>
    <w:p>
      <w:pPr>
        <w:pStyle w:val="ListParagraph"/>
        <w:numPr>
          <w:ilvl w:val="0"/>
          <w:numId w:val="2"/>
        </w:numPr>
        <w:spacing w:after="60"/>
      </w:pPr>
      <w:r>
        <w:rPr>
          <w:b/>
          <w:bCs/>
        </w:rPr>
        <w:t xml:space="preserve">New Inquiry.</w:t>
      </w:r>
      <w:r>
        <w:t xml:space="preserve"> The enquiry is logged, either as a Prospect first or directly as a Case.</w:t>
      </w:r>
    </w:p>
    <w:p>
      <w:pPr>
        <w:pStyle w:val="ListParagraph"/>
        <w:numPr>
          <w:ilvl w:val="0"/>
          <w:numId w:val="2"/>
        </w:numPr>
        <w:spacing w:after="60"/>
      </w:pPr>
      <w:r>
        <w:rPr>
          <w:b/>
          <w:bCs/>
        </w:rPr>
        <w:t xml:space="preserve">RM Assigned.</w:t>
      </w:r>
      <w:r>
        <w:t xml:space="preserve"> If nobody is picked, the case goes to the RM with the lightest workload.</w:t>
      </w:r>
    </w:p>
    <w:p>
      <w:pPr>
        <w:pStyle w:val="ListParagraph"/>
        <w:numPr>
          <w:ilvl w:val="0"/>
          <w:numId w:val="2"/>
        </w:numPr>
        <w:spacing w:after="60"/>
      </w:pPr>
      <w:r>
        <w:rPr>
          <w:b/>
          <w:bCs/>
        </w:rPr>
        <w:t xml:space="preserve">Docs Requested.</w:t>
      </w:r>
      <w:r>
        <w:t xml:space="preserve"> The standard CDD document checklist is created with the case.</w:t>
      </w:r>
    </w:p>
    <w:p>
      <w:pPr>
        <w:pStyle w:val="ListParagraph"/>
        <w:numPr>
          <w:ilvl w:val="0"/>
          <w:numId w:val="2"/>
        </w:numPr>
        <w:spacing w:after="60"/>
      </w:pPr>
      <w:r>
        <w:rPr>
          <w:b/>
          <w:bCs/>
        </w:rPr>
        <w:t xml:space="preserve">CDD/KYC In Review.</w:t>
      </w:r>
      <w:r>
        <w:t xml:space="preserve"> The screening team reviews the documents, and the AML risk rating is calculated.</w:t>
      </w:r>
    </w:p>
    <w:p>
      <w:pPr>
        <w:pStyle w:val="ListParagraph"/>
        <w:numPr>
          <w:ilvl w:val="0"/>
          <w:numId w:val="2"/>
        </w:numPr>
        <w:spacing w:after="60"/>
      </w:pPr>
      <w:r>
        <w:rPr>
          <w:b/>
          <w:bCs/>
        </w:rPr>
        <w:t xml:space="preserve">CDD Approved.</w:t>
      </w:r>
      <w:r>
        <w:t xml:space="preserve"> An invoice cannot be raised until both CDD and KYC are approved, unless an admin grants a time-limited exception.</w:t>
      </w:r>
    </w:p>
    <w:p>
      <w:pPr>
        <w:pStyle w:val="ListParagraph"/>
        <w:numPr>
          <w:ilvl w:val="0"/>
          <w:numId w:val="2"/>
        </w:numPr>
        <w:spacing w:after="60"/>
      </w:pPr>
      <w:r>
        <w:rPr>
          <w:b/>
          <w:bCs/>
        </w:rPr>
        <w:t xml:space="preserve">Invoice Raised, then Invoice Paid.</w:t>
      </w:r>
      <w:r>
        <w:t xml:space="preserve"> Ops cannot be assigned until the invoice is marked paid.</w:t>
      </w:r>
    </w:p>
    <w:p>
      <w:pPr>
        <w:pStyle w:val="ListParagraph"/>
        <w:numPr>
          <w:ilvl w:val="0"/>
          <w:numId w:val="2"/>
        </w:numPr>
        <w:spacing w:after="60"/>
      </w:pPr>
      <w:r>
        <w:rPr>
          <w:b/>
          <w:bCs/>
        </w:rPr>
        <w:t xml:space="preserve">Ops Assigned, then Application Submitted</w:t>
      </w:r>
      <w:r>
        <w:t xml:space="preserve"> to the registered agent.</w:t>
      </w:r>
    </w:p>
    <w:p>
      <w:pPr>
        <w:pStyle w:val="ListParagraph"/>
        <w:numPr>
          <w:ilvl w:val="0"/>
          <w:numId w:val="2"/>
        </w:numPr>
        <w:spacing w:after="60"/>
      </w:pPr>
      <w:r>
        <w:rPr>
          <w:b/>
          <w:bCs/>
        </w:rPr>
        <w:t xml:space="preserve">Licence Received.</w:t>
      </w:r>
      <w:r>
        <w:t xml:space="preserve"> The compliance calendar is created automatically at this point, from the incorporation date and the jurisdiction's rules.</w:t>
      </w:r>
    </w:p>
    <w:p>
      <w:pPr>
        <w:pStyle w:val="ListParagraph"/>
        <w:numPr>
          <w:ilvl w:val="0"/>
          <w:numId w:val="2"/>
        </w:numPr>
        <w:spacing w:after="60"/>
      </w:pPr>
      <w:r>
        <w:rPr>
          <w:b/>
          <w:bCs/>
        </w:rPr>
        <w:t xml:space="preserve">Active.</w:t>
      </w:r>
      <w:r>
        <w:t xml:space="preserve"> Recurring filings now show on the Compliance page and the dashboard. Any later requests for the company go into the Instruction Tracker.</w:t>
      </w:r>
    </w:p>
    <w:p>
      <w:pPr>
        <w:pStyle w:val="Heading2"/>
      </w:pPr>
      <w:r>
        <w:t xml:space="preserve">3.2 Existing Triam clients already taking services</w:t>
      </w:r>
    </w:p>
    <w:p>
      <w:pPr>
        <w:keepNext/>
        <w:pBdr>
          <w:left w:val="single" w:color="1A3A5C" w:sz="18" w:space="6"/>
        </w:pBdr>
        <w:shd w:fill="EEF2F7" w:color="auto" w:val="clear"/>
        <w:spacing w:after="160" w:before="60"/>
      </w:pPr>
      <w:r>
        <w:rPr>
          <w:b/>
          <w:bCs/>
          <w:color w:val="1A3A5C"/>
        </w:rPr>
        <w:t xml:space="preserve">Status:  </w:t>
      </w:r>
      <w:r>
        <w:t xml:space="preserve">Partly built. Day-to-day servicing works. Getting the existing client base into the system does not.</w:t>
      </w:r>
    </w:p>
    <w:p>
      <w:pPr>
        <w:pStyle w:val="Heading3"/>
      </w:pPr>
      <w:r>
        <w:t xml:space="preserve">What works</w:t>
      </w:r>
    </w:p>
    <w:p>
      <w:pPr>
        <w:pStyle w:val="ListParagraph"/>
        <w:numPr>
          <w:ilvl w:val="0"/>
          <w:numId w:val="3"/>
        </w:numPr>
        <w:spacing w:after="60"/>
      </w:pPr>
      <w:r>
        <w:t xml:space="preserve">Client records can be created by hand, or bulk imported by an admin from CSV, with Existing Relationship set to Yes.</w:t>
      </w:r>
    </w:p>
    <w:p>
      <w:pPr>
        <w:pStyle w:val="ListParagraph"/>
        <w:numPr>
          <w:ilvl w:val="0"/>
          <w:numId w:val="3"/>
        </w:numPr>
        <w:spacing w:after="60"/>
      </w:pPr>
      <w:r>
        <w:t xml:space="preserve">One-off requests for a company (COI, change of directors, ESR filing and so on) are logged in the Instruction Tracker against that company, with cost and charge.</w:t>
      </w:r>
    </w:p>
    <w:p>
      <w:pPr>
        <w:pStyle w:val="ListParagraph"/>
        <w:numPr>
          <w:ilvl w:val="0"/>
          <w:numId w:val="3"/>
        </w:numPr>
        <w:spacing w:after="60"/>
      </w:pPr>
      <w:r>
        <w:t xml:space="preserve">Recurring services such as accounting, VAT and corporate tax can be recorded as service subscriptions.</w:t>
      </w:r>
    </w:p>
    <w:p>
      <w:pPr>
        <w:pStyle w:val="ListParagraph"/>
        <w:numPr>
          <w:ilvl w:val="0"/>
          <w:numId w:val="3"/>
        </w:numPr>
        <w:spacing w:after="60"/>
      </w:pPr>
      <w:r>
        <w:t xml:space="preserve">Once a company has an active case, the compliance calendar, reminders and lifecycle tracking all work as normal.</w:t>
      </w:r>
    </w:p>
    <w:p>
      <w:pPr>
        <w:pStyle w:val="Heading3"/>
      </w:pPr>
      <w:r>
        <w:t xml:space="preserve">What does not work well</w:t>
      </w:r>
    </w:p>
    <w:p>
      <w:pPr>
        <w:pStyle w:val="ListParagraph"/>
        <w:numPr>
          <w:ilvl w:val="0"/>
          <w:numId w:val="3"/>
        </w:numPr>
        <w:spacing w:after="60"/>
      </w:pPr>
      <w:r>
        <w:rPr>
          <w:b/>
          <w:bCs/>
        </w:rPr>
        <w:t xml:space="preserve">Existing Relationship is only a label.</w:t>
      </w:r>
      <w:r>
        <w:t xml:space="preserve"> Setting it to Yes changes nothing in how the client is handled.</w:t>
      </w:r>
    </w:p>
    <w:p>
      <w:pPr>
        <w:pStyle w:val="ListParagraph"/>
        <w:numPr>
          <w:ilvl w:val="0"/>
          <w:numId w:val="3"/>
        </w:numPr>
        <w:spacing w:after="60"/>
      </w:pPr>
      <w:r>
        <w:rPr>
          <w:b/>
          <w:bCs/>
        </w:rPr>
        <w:t xml:space="preserve">An already-running company cannot be added straight in as Active.</w:t>
      </w:r>
      <w:r>
        <w:t xml:space="preserve"> Every case starts at New Inquiry and has to be clicked through all eleven stages. That includes Application Submitted and Licence Received, which make no sense for a company that already exists. The compliance calendar only starts when the case reaches Licence Received.</w:t>
      </w:r>
    </w:p>
    <w:p>
      <w:pPr>
        <w:pStyle w:val="ListParagraph"/>
        <w:numPr>
          <w:ilvl w:val="0"/>
          <w:numId w:val="3"/>
        </w:numPr>
        <w:spacing w:after="60"/>
      </w:pPr>
      <w:r>
        <w:rPr>
          <w:b/>
          <w:bCs/>
        </w:rPr>
        <w:t xml:space="preserve">A new service for an existing company is also opened as a formation case.</w:t>
      </w:r>
      <w:r>
        <w:t xml:space="preserve"> For example, an ESR filing request goes through the formation stages. The Instruction Tracker is the right place for these, and staff need clear guidance on that.</w:t>
      </w:r>
    </w:p>
    <w:p>
      <w:pPr>
        <w:pStyle w:val="ListParagraph"/>
        <w:numPr>
          <w:ilvl w:val="0"/>
          <w:numId w:val="3"/>
        </w:numPr>
        <w:spacing w:after="60"/>
      </w:pPr>
      <w:r>
        <w:rPr>
          <w:b/>
          <w:bCs/>
        </w:rPr>
        <w:t xml:space="preserve">Only client records can be bulk imported.</w:t>
      </w:r>
      <w:r>
        <w:t xml:space="preserve"> Companies, their incorporation details, compliance due dates and the instruction history in the current Excel tracker would all have to be typed in one at a time.</w:t>
      </w:r>
    </w:p>
    <w:p>
      <w:pPr>
        <w:pStyle w:val="Heading3"/>
      </w:pPr>
      <w:r>
        <w:t xml:space="preserve">What needs to be built</w:t>
      </w:r>
    </w:p>
    <w:p>
      <w:pPr>
        <w:pStyle w:val="ListParagraph"/>
        <w:numPr>
          <w:ilvl w:val="0"/>
          <w:numId w:val="3"/>
        </w:numPr>
        <w:spacing w:after="60"/>
      </w:pPr>
      <w:r>
        <w:t xml:space="preserve">An </w:t>
      </w:r>
      <w:r>
        <w:rPr>
          <w:b/>
          <w:bCs/>
        </w:rPr>
        <w:t xml:space="preserve">Existing entity</w:t>
      </w:r>
      <w:r>
        <w:t xml:space="preserve"> option on the New Case form. It creates the case directly as Active and asks for the incorporation date, registered agent and last filing dates. The compliance calendar is then built from those on day one.</w:t>
      </w:r>
    </w:p>
    <w:p>
      <w:pPr>
        <w:pStyle w:val="ListParagraph"/>
        <w:numPr>
          <w:ilvl w:val="0"/>
          <w:numId w:val="3"/>
        </w:numPr>
        <w:spacing w:after="60"/>
      </w:pPr>
      <w:r>
        <w:t xml:space="preserve">A </w:t>
      </w:r>
      <w:r>
        <w:rPr>
          <w:b/>
          <w:bCs/>
        </w:rPr>
        <w:t xml:space="preserve">bulk import</w:t>
      </w:r>
      <w:r>
        <w:t xml:space="preserve"> for companies from the Offshore Entities List (the Active RELs sheet) and for open instructions, so the current Excel data can be loaded in one go.</w:t>
      </w:r>
    </w:p>
    <w:p>
      <w:pPr>
        <w:pStyle w:val="Heading2"/>
      </w:pPr>
      <w:r>
        <w:t xml:space="preserve">3.3 A company moving to Triam from another provider</w:t>
      </w:r>
    </w:p>
    <w:p>
      <w:pPr>
        <w:keepNext/>
        <w:pBdr>
          <w:left w:val="single" w:color="1A3A5C" w:sz="18" w:space="6"/>
        </w:pBdr>
        <w:shd w:fill="EEF2F7" w:color="auto" w:val="clear"/>
        <w:spacing w:after="160" w:before="60"/>
      </w:pPr>
      <w:r>
        <w:rPr>
          <w:b/>
          <w:bCs/>
          <w:color w:val="1A3A5C"/>
        </w:rPr>
        <w:t xml:space="preserve">Status:  </w:t>
      </w:r>
      <w:r>
        <w:t xml:space="preserve">Not built. This is the main gap for day-to-day business.</w:t>
      </w:r>
    </w:p>
    <w:p>
      <w:pPr>
        <w:spacing w:after="120"/>
      </w:pPr>
      <w:r>
        <w:t xml:space="preserve">The company already exists, so it should not go through formation. It should be serviced by Triam from the day the transfer completes. Today the system has no proper route for that.</w:t>
      </w:r>
    </w:p>
    <w:p>
      <w:pPr>
        <w:pStyle w:val="Heading3"/>
      </w:pPr>
      <w:r>
        <w:t xml:space="preserve">What happens today</w:t>
      </w:r>
    </w:p>
    <w:p>
      <w:pPr>
        <w:pStyle w:val="ListParagraph"/>
        <w:numPr>
          <w:ilvl w:val="0"/>
          <w:numId w:val="3"/>
        </w:numPr>
        <w:spacing w:after="60"/>
      </w:pPr>
      <w:r>
        <w:t xml:space="preserve">The only option is to open a normal formation case and push it through every stage, including the ones that do not apply.</w:t>
      </w:r>
    </w:p>
    <w:p>
      <w:pPr>
        <w:pStyle w:val="ListParagraph"/>
        <w:numPr>
          <w:ilvl w:val="0"/>
          <w:numId w:val="3"/>
        </w:numPr>
        <w:spacing w:after="60"/>
      </w:pPr>
      <w:r>
        <w:t xml:space="preserve">There is nowhere to record the previous provider, the transfer dates, or which filings the previous provider has already done.</w:t>
      </w:r>
    </w:p>
    <w:p>
      <w:pPr>
        <w:pStyle w:val="ListParagraph"/>
        <w:numPr>
          <w:ilvl w:val="0"/>
          <w:numId w:val="3"/>
        </w:numPr>
        <w:spacing w:after="60"/>
      </w:pPr>
      <w:r>
        <w:t xml:space="preserve">The system can record a transfer out of Triam (in the entity lifecycle), but not a transfer in.</w:t>
      </w:r>
    </w:p>
    <w:p>
      <w:pPr>
        <w:pStyle w:val="ListParagraph"/>
        <w:numPr>
          <w:ilvl w:val="0"/>
          <w:numId w:val="3"/>
        </w:numPr>
        <w:spacing w:after="60"/>
      </w:pPr>
      <w:r>
        <w:t xml:space="preserve">The Instruction Tracker has an instruction type called "Transfer &amp; Restoration to Vistra". It is a log entry only and does not set the company up.</w:t>
      </w:r>
    </w:p>
    <w:p>
      <w:pPr>
        <w:pStyle w:val="Heading3"/>
      </w:pPr>
      <w:r>
        <w:t xml:space="preserve">How it should work from day one (proposal)</w:t>
      </w:r>
    </w:p>
    <w:p>
      <w:pPr>
        <w:pStyle w:val="ListParagraph"/>
        <w:numPr>
          <w:ilvl w:val="0"/>
          <w:numId w:val="4"/>
        </w:numPr>
        <w:spacing w:after="60"/>
      </w:pPr>
      <w:r>
        <w:t xml:space="preserve">The RM opens a case with the service type </w:t>
      </w:r>
      <w:r>
        <w:rPr>
          <w:b/>
          <w:bCs/>
        </w:rPr>
        <w:t xml:space="preserve">Transfer In</w:t>
      </w:r>
      <w:r>
        <w:t xml:space="preserve">. They record the previous provider and the company's existing details: incorporation date, company number, registered agent, directors and shareholders.</w:t>
      </w:r>
    </w:p>
    <w:p>
      <w:pPr>
        <w:pStyle w:val="ListParagraph"/>
        <w:numPr>
          <w:ilvl w:val="0"/>
          <w:numId w:val="4"/>
        </w:numPr>
        <w:spacing w:after="60"/>
      </w:pPr>
      <w:r>
        <w:rPr>
          <w:b/>
          <w:bCs/>
        </w:rPr>
        <w:t xml:space="preserve">CDD and KYC run in full.</w:t>
      </w:r>
      <w:r>
        <w:t xml:space="preserve"> Triam takes on the AML responsibility, so this step cannot be skipped. A transfer checklist collects the documents from the previous provider: Certificate of Incorporation, M&amp;A, registers of members and directors, and a recent Certificate of Good Standing.</w:t>
      </w:r>
    </w:p>
    <w:p>
      <w:pPr>
        <w:pStyle w:val="ListParagraph"/>
        <w:numPr>
          <w:ilvl w:val="0"/>
          <w:numId w:val="4"/>
        </w:numPr>
        <w:spacing w:after="60"/>
      </w:pPr>
      <w:r>
        <w:t xml:space="preserve">The </w:t>
      </w:r>
      <w:r>
        <w:rPr>
          <w:b/>
          <w:bCs/>
        </w:rPr>
        <w:t xml:space="preserve">invoice for the transfer fee</w:t>
      </w:r>
      <w:r>
        <w:t xml:space="preserve"> follows the same rule as today: no Ops work until it is paid.</w:t>
      </w:r>
    </w:p>
    <w:p>
      <w:pPr>
        <w:pStyle w:val="ListParagraph"/>
        <w:numPr>
          <w:ilvl w:val="0"/>
          <w:numId w:val="4"/>
        </w:numPr>
        <w:spacing w:after="60"/>
      </w:pPr>
      <w:r>
        <w:t xml:space="preserve">Two transfer stages replace the formation stages: </w:t>
      </w:r>
      <w:r>
        <w:rPr>
          <w:b/>
          <w:bCs/>
        </w:rPr>
        <w:t xml:space="preserve">Transfer Requested from Previous Agent</w:t>
      </w:r>
      <w:r>
        <w:t xml:space="preserve"> and </w:t>
      </w:r>
      <w:r>
        <w:rPr>
          <w:b/>
          <w:bCs/>
        </w:rPr>
        <w:t xml:space="preserve">Transfer Completed</w:t>
      </w:r>
      <w:r>
        <w:t xml:space="preserve">. They take the place of Application Submitted and Licence Received.</w:t>
      </w:r>
    </w:p>
    <w:p>
      <w:pPr>
        <w:pStyle w:val="ListParagraph"/>
        <w:numPr>
          <w:ilvl w:val="0"/>
          <w:numId w:val="4"/>
        </w:numPr>
        <w:spacing w:after="60"/>
      </w:pPr>
      <w:r>
        <w:t xml:space="preserve">On completion the case goes Active and the </w:t>
      </w:r>
      <w:r>
        <w:rPr>
          <w:b/>
          <w:bCs/>
        </w:rPr>
        <w:t xml:space="preserve">compliance calendar is built from the real incorporation date</w:t>
      </w:r>
      <w:r>
        <w:t xml:space="preserve">. The last ESR, Annual Return and renewal dates from the previous provider are entered so that the next due dates are correct. Anything the previous provider left overdue is flagged immediately instead of quietly rolling forward.</w:t>
      </w:r>
    </w:p>
    <w:p>
      <w:pPr>
        <w:pStyle w:val="ListParagraph"/>
        <w:numPr>
          <w:ilvl w:val="0"/>
          <w:numId w:val="4"/>
        </w:numPr>
        <w:spacing w:after="60"/>
      </w:pPr>
      <w:r>
        <w:t xml:space="preserve">From that day on, the company is handled exactly like any other Triam client.</w:t>
      </w:r>
    </w:p>
    <w:p>
      <w:pPr>
        <w:spacing w:after="120" w:before="160"/>
      </w:pPr>
      <w:r>
        <w:rPr>
          <w:b/>
          <w:bCs/>
        </w:rPr>
        <w:t xml:space="preserve">Estimated effort:</w:t>
      </w:r>
      <w:r>
        <w:t xml:space="preserve"> about one week of development and testing, once Triam confirms the stage names and the document checklist.</w:t>
      </w:r>
    </w:p>
    <w:p>
      <w:pPr>
        <w:pStyle w:val="Heading1"/>
      </w:pPr>
      <w:r>
        <w:t xml:space="preserve">4. What is lagging</w:t>
      </w:r>
    </w:p>
    <w:p>
      <w:pPr>
        <w:pStyle w:val="Heading2"/>
      </w:pPr>
      <w:r>
        <w:t xml:space="preserve">4.1 Waiting on information from Triam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438"/>
      </w:tblGrid>
      <w:tr>
        <w:trPr>
          <w:cantSplit/>
          <w:tblHeader/>
        </w:trPr>
        <w:tc>
          <w:tcPr>
            <w:tcW w:type="dxa" w:w="3900"/>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Item</w:t>
            </w:r>
          </w:p>
        </w:tc>
        <w:tc>
          <w:tcPr>
            <w:tcW w:type="dxa" w:w="1300"/>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Reference</w:t>
            </w:r>
          </w:p>
        </w:tc>
        <w:tc>
          <w:tcPr>
            <w:tcW w:type="dxa" w:w="4438"/>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What we need</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Licensing Authority dropdown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UAT #9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list of freezones and licensing authorities to show</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CDD Next Review Date rule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UAT #15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Confirmation that the existing automatic calculation is the rule Triam meant</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info has to come one by 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UAT #18</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screen this refers to</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customer ID format (e.g. TCPL/00001)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UAT #20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sample IDs use "TMS", which is not in the entity list (TMC, TCPL, TMCL, TAB, TCDL). Also whether existing IDs should be renumbered</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 reason did not make sense"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UAT #21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screenshot mentioned in the feedback</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Automatic non-anchor entity suggestion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UAT #3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services belong to which Triam entity</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Roles (CO, MLRO, RO, FO, Sales Manager, Dy MLRO)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spec §VI</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Should this be a separate admin-managed list, or is the staff Title field enough?</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RM and Supervisor tables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spec §VI</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Separate master tables, or is the current department and supervisor set-up enough?</w:t>
            </w:r>
          </w:p>
        </w:tc>
      </w:tr>
    </w:tbl>
    <w:p>
      <w:pPr>
        <w:spacing w:after="120"/>
      </w:pPr>
    </w:p>
    <w:p>
      <w:pPr>
        <w:pStyle w:val="Heading2"/>
      </w:pPr>
      <w:r>
        <w:t xml:space="preserve">4.2 To be built by us</w:t>
      </w:r>
    </w:p>
    <w:p>
      <w:pPr>
        <w:pStyle w:val="ListParagraph"/>
        <w:numPr>
          <w:ilvl w:val="0"/>
          <w:numId w:val="3"/>
        </w:numPr>
        <w:spacing w:after="60"/>
      </w:pPr>
      <w:r>
        <w:t xml:space="preserve">The transfer-in route (section 3.3).</w:t>
      </w:r>
    </w:p>
    <w:p>
      <w:pPr>
        <w:pStyle w:val="ListParagraph"/>
        <w:numPr>
          <w:ilvl w:val="0"/>
          <w:numId w:val="3"/>
        </w:numPr>
        <w:spacing w:after="60"/>
      </w:pPr>
      <w:r>
        <w:t xml:space="preserve">The existing-entity option and the bulk import of companies and instructions (section 3.2).</w:t>
      </w:r>
    </w:p>
    <w:p>
      <w:pPr>
        <w:pStyle w:val="ListParagraph"/>
        <w:numPr>
          <w:ilvl w:val="0"/>
          <w:numId w:val="3"/>
        </w:numPr>
        <w:spacing w:after="60"/>
      </w:pPr>
      <w:r>
        <w:t xml:space="preserve">Dashboard improvements. The stage chart becomes a simple row of stages with counts. The RM chart is simplified. The summary cards become clickable. The three empty panels become one Action Needed list. A Compliance Due Soon panel is added covering licence expiry, AML review, engagement letter and visa/passport expiry.</w:t>
      </w:r>
    </w:p>
    <w:p>
      <w:pPr>
        <w:pStyle w:val="Heading2"/>
      </w:pPr>
      <w:r>
        <w:t xml:space="preserve">4.3 Needed before go-live</w:t>
      </w:r>
    </w:p>
    <w:p>
      <w:pPr>
        <w:pStyle w:val="ListParagraph"/>
        <w:numPr>
          <w:ilvl w:val="0"/>
          <w:numId w:val="3"/>
        </w:numPr>
        <w:spacing w:after="60"/>
      </w:pPr>
      <w:r>
        <w:rPr>
          <w:b/>
          <w:bCs/>
        </w:rPr>
        <w:t xml:space="preserve">Login page:</w:t>
      </w:r>
      <w:r>
        <w:t xml:space="preserve"> remove the "Demo accounts" shortcut and the pre-filled admin email, and change the default admin password. If the default password is still in use, anyone with the web address can sign in as admin.</w:t>
      </w:r>
    </w:p>
    <w:p>
      <w:pPr>
        <w:pStyle w:val="ListParagraph"/>
        <w:numPr>
          <w:ilvl w:val="0"/>
          <w:numId w:val="3"/>
        </w:numPr>
        <w:spacing w:after="60"/>
      </w:pPr>
      <w:r>
        <w:rPr>
          <w:b/>
          <w:bCs/>
        </w:rPr>
        <w:t xml:space="preserve">Email notifications:</w:t>
      </w:r>
      <w:r>
        <w:t xml:space="preserve"> confirm they are switched on and connected to Triam's mail server.</w:t>
      </w:r>
    </w:p>
    <w:p>
      <w:pPr>
        <w:pStyle w:val="ListParagraph"/>
        <w:numPr>
          <w:ilvl w:val="0"/>
          <w:numId w:val="3"/>
        </w:numPr>
        <w:spacing w:after="60"/>
      </w:pPr>
      <w:r>
        <w:rPr>
          <w:b/>
          <w:bCs/>
        </w:rPr>
        <w:t xml:space="preserve">Security settings:</w:t>
      </w:r>
      <w:r>
        <w:t xml:space="preserve"> replace the default secret keys, restrict access to Triam's own web address, and confirm the daily database backups.</w:t>
      </w:r>
    </w:p>
    <w:p>
      <w:pPr>
        <w:pStyle w:val="ListParagraph"/>
        <w:numPr>
          <w:ilvl w:val="0"/>
          <w:numId w:val="3"/>
        </w:numPr>
        <w:spacing w:after="60"/>
      </w:pPr>
      <w:r>
        <w:rPr>
          <w:b/>
          <w:bCs/>
        </w:rPr>
        <w:t xml:space="preserve">Testing:</w:t>
      </w:r>
      <w:r>
        <w:t xml:space="preserve"> there is no automated test suite. Every change is currently checked by hand. We will add a basic set of checks covering the main flows so that later changes do not break them.</w:t>
      </w:r>
    </w:p>
    <w:p>
      <w:pPr>
        <w:pStyle w:val="ListParagraph"/>
        <w:numPr>
          <w:ilvl w:val="0"/>
          <w:numId w:val="3"/>
        </w:numPr>
        <w:spacing w:after="60"/>
      </w:pPr>
      <w:r>
        <w:rPr>
          <w:b/>
          <w:bCs/>
        </w:rPr>
        <w:t xml:space="preserve">Training:</w:t>
      </w:r>
      <w:r>
        <w:t xml:space="preserve"> a short user guide for each role (RM, Ops, Screening, Admin) and a training session for each group.</w:t>
      </w:r>
    </w:p>
    <w:p>
      <w:pPr>
        <w:pStyle w:val="ListParagraph"/>
        <w:numPr>
          <w:ilvl w:val="0"/>
          <w:numId w:val="3"/>
        </w:numPr>
        <w:spacing w:after="60"/>
      </w:pPr>
      <w:r>
        <w:rPr>
          <w:b/>
          <w:bCs/>
        </w:rPr>
        <w:t xml:space="preserve">Specification documents:</w:t>
      </w:r>
      <w:r>
        <w:t xml:space="preserve"> update the Business and Functional Specification documents to match the final system.</w:t>
      </w:r>
    </w:p>
    <w:p>
      <w:pPr>
        <w:pStyle w:val="Heading1"/>
      </w:pPr>
      <w:r>
        <w:t xml:space="preserve">5. Plan for the next month (28 September – 25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cantSplit/>
          <w:tblHeader/>
        </w:trPr>
        <w:tc>
          <w:tcPr>
            <w:tcW w:type="dxa" w:w="2000"/>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Week</w:t>
            </w:r>
          </w:p>
        </w:tc>
        <w:tc>
          <w:tcPr>
            <w:tcW w:type="dxa" w:w="4300"/>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Development team</w:t>
            </w:r>
          </w:p>
        </w:tc>
        <w:tc>
          <w:tcPr>
            <w:tcW w:type="dxa" w:w="3338"/>
            <w:tcBorders>
              <w:top w:val="single" w:color="BFBFBF" w:sz="4"/>
              <w:left w:val="single" w:color="BFBFBF" w:sz="4"/>
              <w:bottom w:val="single" w:color="BFBFBF" w:sz="4"/>
              <w:right w:val="single" w:color="BFBFBF" w:sz="4"/>
            </w:tcBorders>
            <w:shd w:fill="1A3A5C" w:color="auto" w:val="clear"/>
            <w:tcMar>
              <w:top w:type="dxa" w:w="60"/>
              <w:left w:type="dxa" w:w="100"/>
              <w:bottom w:type="dxa" w:w="60"/>
              <w:right w:type="dxa" w:w="100"/>
            </w:tcMar>
          </w:tcPr>
          <w:p>
            <w:r>
              <w:rPr>
                <w:b/>
                <w:bCs/>
                <w:color w:val="FFFFFF"/>
              </w:rPr>
              <w:t xml:space="preserve">Triam</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Week 1</w:t>
            </w:r>
          </w:p>
          <w:p>
            <w:r>
              <w:t xml:space="preserve">28 Sep – 4 Oct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the open UAT items as soon as the inputs arrive. Fix the login page and security settings. Agree the transfer-in and existing-entity design with Triam.</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the information listed in 4.1. Confirm the transfer-in stages and document checklist.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Week 2</w:t>
            </w:r>
          </w:p>
          <w:p>
            <w:r>
              <w:t xml:space="preserve">5 – 11 Oct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the existing-entity option and the transfer-in route. Build the import for companies and open instructions. Dashboard improvements.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Clean up the Excel tracker (Active RELs and open instructions) ready for import.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Week 3</w:t>
            </w:r>
          </w:p>
          <w:p>
            <w:r>
              <w:t xml:space="preserve">12 – 18 Oct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 Triam's real data into the live system and check it together with Triam. Fix issues from UAT round 2. Prepare user guides.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UAT round 2 on the new parts. Attend training sessions.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Week 4</w:t>
            </w:r>
          </w:p>
          <w:p>
            <w:r>
              <w:t xml:space="preserve">19 – 25 Oct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 live. Check in daily during the first week, and fix issues the same day where possible. Update the specification documents.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 working in the CRM. Keep the Excel tracker running in parallel for two weeks as a backup.</w:t>
            </w:r>
          </w:p>
        </w:tc>
      </w:tr>
    </w:tbl>
    <w:p>
      <w:pPr>
        <w:spacing w:after="120"/>
      </w:pPr>
    </w:p>
    <w:p>
      <w:pPr>
        <w:spacing w:after="120"/>
      </w:pPr>
      <w:r>
        <w:t xml:space="preserve">This plan assumes the information in section 4.1 reaches us during week 1. A delay there pushes the go-live date back by about the same amount of time.</w:t>
      </w:r>
    </w:p>
    <w:p>
      <w:pPr>
        <w:pStyle w:val="Heading1"/>
      </w:pPr>
      <w:r>
        <w:t xml:space="preserve">6. Decisions needed from Triam</w:t>
      </w:r>
    </w:p>
    <w:p>
      <w:pPr>
        <w:pStyle w:val="ListParagraph"/>
        <w:numPr>
          <w:ilvl w:val="0"/>
          <w:numId w:val="5"/>
        </w:numPr>
        <w:spacing w:after="60"/>
      </w:pPr>
      <w:r>
        <w:t xml:space="preserve">The information listed in section 4.1.</w:t>
      </w:r>
    </w:p>
    <w:p>
      <w:pPr>
        <w:pStyle w:val="ListParagraph"/>
        <w:numPr>
          <w:ilvl w:val="0"/>
          <w:numId w:val="5"/>
        </w:numPr>
        <w:spacing w:after="60"/>
      </w:pPr>
      <w:r>
        <w:t xml:space="preserve">Approval of the transfer-in stages and document checklist in section 3.3.</w:t>
      </w:r>
    </w:p>
    <w:p>
      <w:pPr>
        <w:pStyle w:val="ListParagraph"/>
        <w:numPr>
          <w:ilvl w:val="0"/>
          <w:numId w:val="5"/>
        </w:numPr>
        <w:spacing w:after="60"/>
      </w:pPr>
      <w:r>
        <w:t xml:space="preserve">The target go-live date, and who in Triam signs off UAT.</w:t>
      </w:r>
    </w:p>
    <w:p>
      <w:pPr>
        <w:pStyle w:val="ListParagraph"/>
        <w:numPr>
          <w:ilvl w:val="0"/>
          <w:numId w:val="5"/>
        </w:numPr>
        <w:spacing w:after="60"/>
      </w:pPr>
      <w:r>
        <w:t xml:space="preserve">Who in Triam owns cleaning up the Excel tracker before it is imported.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26 September 2026</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Triam CRM – Status 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60"/>
      <w:outlineLvl w:val="0"/>
    </w:pPr>
    <w:rPr>
      <w:rFonts w:ascii="Arial" w:cs="Arial" w:eastAsia="Arial" w:hAnsi="Arial"/>
      <w:b/>
      <w:bCs/>
      <w:color w:val="1A3A5C"/>
      <w:sz w:val="30"/>
      <w:szCs w:val="30"/>
    </w:rPr>
  </w:style>
  <w:style w:type="paragraph" w:styleId="Heading2">
    <w:name w:val="Heading 2"/>
    <w:basedOn w:val="Normal"/>
    <w:next w:val="Normal"/>
    <w:qFormat/>
    <w:pPr>
      <w:keepNext/>
      <w:keepLines/>
      <w:spacing w:after="100" w:before="260"/>
      <w:outlineLvl w:val="1"/>
    </w:pPr>
    <w:rPr>
      <w:rFonts w:ascii="Arial" w:cs="Arial" w:eastAsia="Arial" w:hAnsi="Arial"/>
      <w:b/>
      <w:bCs/>
      <w:color w:val="1A3A5C"/>
      <w:sz w:val="25"/>
      <w:szCs w:val="25"/>
    </w:rPr>
  </w:style>
  <w:style w:type="paragraph" w:styleId="Heading3">
    <w:name w:val="Heading 3"/>
    <w:basedOn w:val="Normal"/>
    <w:next w:val="Normal"/>
    <w:qFormat/>
    <w:pPr>
      <w:keepNext/>
      <w:keepLines/>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Triam CRM - Status and Plan</dc:title>
  <cp:lastModifiedBy>Un-named</cp:lastModifiedBy>
  <cp:revision>1</cp:revision>
  <dcterms:created xsi:type="dcterms:W3CDTF">2026-09-26T08:36:08.929Z</dcterms:created>
  <dcterms:modified xsi:type="dcterms:W3CDTF">2026-09-26T08:36:08.930Z</dcterms:modified>
</cp:coreProperties>
</file>

<file path=docProps/custom.xml><?xml version="1.0" encoding="utf-8"?>
<Properties xmlns="http://schemas.openxmlformats.org/officeDocument/2006/custom-properties" xmlns:vt="http://schemas.openxmlformats.org/officeDocument/2006/docPropsVTypes"/>
</file>