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6464"/>
          <w:sz w:val="19"/>
        </w:rPr>
        <w:t>UNIVERSIDAD DE COSTA RICA · SEDE DE GUANACASTE · RECINTO DE LIBERIA</w:t>
        <w:br/>
        <w:t>CARRERA DE INFORMÁTICA EMPRESARIAL</w:t>
      </w:r>
    </w:p>
    <w:p>
      <w:pPr>
        <w:spacing w:before="0" w:after="80"/>
        <w:jc w:val="center"/>
      </w:pPr>
      <w:r>
        <w:rPr>
          <w:rFonts w:ascii="Arial" w:hAnsi="Arial"/>
          <w:b/>
          <w:color w:val="1B365D"/>
          <w:sz w:val="44"/>
        </w:rPr>
        <w:t>PACÍFICOS ONLINE</w:t>
      </w:r>
    </w:p>
    <w:p>
      <w:pPr>
        <w:spacing w:before="0" w:after="360"/>
        <w:jc w:val="center"/>
      </w:pPr>
      <w:r>
        <w:rPr>
          <w:rFonts w:ascii="Arial" w:hAnsi="Arial"/>
          <w:i/>
          <w:color w:val="4B6B94"/>
          <w:sz w:val="24"/>
        </w:rPr>
        <w:t>Guía Completa de Arquitectura, Convenciones de Código y Manual de Inicio en Laravel</w:t>
        <w:br/>
        <w:t>IF6100 — Análisis y Diseño de Sistemas · II Ciclo 2026</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left w:val="single" w:sz="36" w:space="0" w:color="1B365D"/>
              <w:top w:val="none"/>
              <w:right w:val="none"/>
              <w:bottom w:val="none"/>
            </w:tcBorders>
          </w:tcPr>
          <w:p>
            <w:pPr>
              <w:spacing w:before="0" w:after="40"/>
            </w:pPr>
            <w:r>
              <w:rPr>
                <w:rFonts w:ascii="Arial" w:hAnsi="Arial"/>
                <w:b/>
                <w:color w:val="1B365D"/>
                <w:sz w:val="21"/>
              </w:rPr>
              <w:t>📌 PROPÓSITO DE ESTA GUÍA</w:t>
              <w:br/>
            </w:r>
            <w:r>
              <w:rPr>
                <w:rFonts w:ascii="Arial" w:hAnsi="Arial"/>
                <w:color w:val="282828"/>
                <w:sz w:val="19"/>
              </w:rPr>
              <w:t>Este manual fue elaborado para todo el estudiantado del curso (los 7 subgrupos y el Comité de Arquitectura). Explica en un lenguaje claro y accesible cómo está estructurado el repositorio, para qué sirve cada carpeta, las reglas obligatorias del profesor y cómo trabajar en equipo sin cometer errores ni bloquear a los demás compañeros.</w:t>
            </w:r>
          </w:p>
        </w:tc>
      </w:tr>
    </w:tbl>
    <w:p>
      <w:pPr>
        <w:spacing w:after="80"/>
      </w:pPr>
    </w:p>
    <w:p>
      <w:pPr>
        <w:keepNext/>
        <w:spacing w:before="320" w:after="120"/>
      </w:pPr>
      <w:r>
        <w:rPr>
          <w:rFonts w:ascii="Arial" w:hAnsi="Arial"/>
          <w:b/>
          <w:color w:val="1B365D"/>
          <w:sz w:val="30"/>
        </w:rPr>
        <w:t>1. ¿Qué es Pacíficos Online y Cómo Nos Organizamos?</w:t>
      </w:r>
    </w:p>
    <w:p>
      <w:pPr>
        <w:spacing w:before="40" w:after="100" w:line="276" w:lineRule="auto"/>
      </w:pPr>
      <w:r>
        <w:rPr>
          <w:rFonts w:ascii="Arial" w:hAnsi="Arial"/>
          <w:i w:val="0"/>
          <w:color w:val="282828"/>
          <w:sz w:val="21"/>
        </w:rPr>
        <w:t>Pacíficos Online es una plataforma web de mercado regional en línea (Marketplace Multiempresa). Su objetivo es reunir a múltiples comercios de la región en un portal unificado, permitiendo que cada comercio administre sus propios productos e inventario, mientras que los compradores disfrutan de una experiencia de compra única con carrito integrado, pagos y facturación.</w:t>
      </w:r>
    </w:p>
    <w:p>
      <w:pPr>
        <w:spacing w:before="40" w:after="100" w:line="276" w:lineRule="auto"/>
      </w:pPr>
      <w:r>
        <w:rPr>
          <w:rFonts w:ascii="Arial" w:hAnsi="Arial"/>
          <w:b/>
          <w:color w:val="282828"/>
          <w:sz w:val="21"/>
        </w:rPr>
        <w:t xml:space="preserve">Un solo sistema para todo el curso: </w:t>
      </w:r>
      <w:r>
        <w:rPr>
          <w:rFonts w:ascii="Arial" w:hAnsi="Arial"/>
          <w:i w:val="0"/>
          <w:color w:val="282828"/>
          <w:sz w:val="21"/>
        </w:rPr>
        <w:t xml:space="preserve">La diferencia fundamental de este proyecto respecto a otros trabajos convencionales es que </w:t>
      </w:r>
    </w:p>
    <w:p>
      <w:pPr>
        <w:spacing w:before="40" w:after="100" w:line="276" w:lineRule="auto"/>
      </w:pPr>
      <w:r>
        <w:rPr>
          <w:rFonts w:ascii="Arial" w:hAnsi="Arial"/>
          <w:i w:val="0"/>
          <w:color w:val="282828"/>
          <w:sz w:val="21"/>
        </w:rPr>
        <w:t>NO entregamos 7 proyectos independientes. Todos los subgrupos trabajamos en el MISMO repositorio Laravel. Al final del curso, el profesor evaluará que una compra real inicie en el Portal (M1), pida información al Catálogo (M3), reserve existencias en Inventario (M4), pague en la Pasarela (M6), registre la contabilidad en el ERP (M7) y liquide la comisión del comercio en (M2), todo sin fallas y de forma 100% automatizada.</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00" w:type="dxa"/>
              <w:right w:w="100" w:type="dxa"/>
            </w:tcMar>
          </w:tcPr>
          <w:p>
            <w:r>
              <w:rPr>
                <w:rFonts w:ascii="Arial" w:hAnsi="Arial"/>
                <w:b/>
                <w:color w:val="FFFFFF"/>
                <w:sz w:val="19"/>
              </w:rPr>
              <w:t>Subgrupo</w:t>
            </w:r>
          </w:p>
        </w:tc>
        <w:tc>
          <w:tcPr>
            <w:tcW w:type="dxa" w:w="2340"/>
            <w:shd w:fill="1B365D"/>
            <w:tcMar>
              <w:top w:w="100" w:type="dxa"/>
              <w:bottom w:w="100" w:type="dxa"/>
              <w:left w:w="100" w:type="dxa"/>
              <w:right w:w="100" w:type="dxa"/>
            </w:tcMar>
          </w:tcPr>
          <w:p>
            <w:r>
              <w:rPr>
                <w:rFonts w:ascii="Arial" w:hAnsi="Arial"/>
                <w:b/>
                <w:color w:val="FFFFFF"/>
                <w:sz w:val="19"/>
              </w:rPr>
              <w:t>Módulo</w:t>
            </w:r>
          </w:p>
        </w:tc>
        <w:tc>
          <w:tcPr>
            <w:tcW w:type="dxa" w:w="2340"/>
            <w:shd w:fill="1B365D"/>
            <w:tcMar>
              <w:top w:w="100" w:type="dxa"/>
              <w:bottom w:w="100" w:type="dxa"/>
              <w:left w:w="100" w:type="dxa"/>
              <w:right w:w="100" w:type="dxa"/>
            </w:tcMar>
          </w:tcPr>
          <w:p>
            <w:r>
              <w:rPr>
                <w:rFonts w:ascii="Arial" w:hAnsi="Arial"/>
                <w:b/>
                <w:color w:val="FFFFFF"/>
                <w:sz w:val="19"/>
              </w:rPr>
              <w:t>Responsabilidad Principal</w:t>
            </w:r>
          </w:p>
        </w:tc>
        <w:tc>
          <w:tcPr>
            <w:tcW w:type="dxa" w:w="2340"/>
            <w:shd w:fill="1B365D"/>
            <w:tcMar>
              <w:top w:w="100" w:type="dxa"/>
              <w:bottom w:w="100" w:type="dxa"/>
              <w:left w:w="100" w:type="dxa"/>
              <w:right w:w="100" w:type="dxa"/>
            </w:tcMar>
          </w:tcPr>
          <w:p>
            <w:r>
              <w:rPr>
                <w:rFonts w:ascii="Arial" w:hAnsi="Arial"/>
                <w:b/>
                <w:color w:val="FFFFFF"/>
                <w:sz w:val="19"/>
              </w:rPr>
              <w:t>Dependencias</w:t>
            </w:r>
          </w:p>
        </w:tc>
      </w:tr>
      <w:tr>
        <w:tc>
          <w:tcPr>
            <w:tcW w:type="dxa" w:w="2340"/>
            <w:shd w:fill="FFFFFF"/>
            <w:tcMar>
              <w:top w:w="80" w:type="dxa"/>
              <w:bottom w:w="80" w:type="dxa"/>
              <w:left w:w="80" w:type="dxa"/>
              <w:right w:w="80" w:type="dxa"/>
            </w:tcMar>
          </w:tcPr>
          <w:p>
            <w:r>
              <w:rPr>
                <w:rFonts w:ascii="Arial" w:hAnsi="Arial"/>
                <w:color w:val="282828"/>
                <w:sz w:val="18"/>
              </w:rPr>
              <w:t>SG1</w:t>
            </w:r>
          </w:p>
        </w:tc>
        <w:tc>
          <w:tcPr>
            <w:tcW w:type="dxa" w:w="2340"/>
            <w:shd w:fill="FFFFFF"/>
            <w:tcMar>
              <w:top w:w="80" w:type="dxa"/>
              <w:bottom w:w="80" w:type="dxa"/>
              <w:left w:w="80" w:type="dxa"/>
              <w:right w:w="80" w:type="dxa"/>
            </w:tcMar>
          </w:tcPr>
          <w:p>
            <w:r>
              <w:rPr>
                <w:rFonts w:ascii="Arial" w:hAnsi="Arial"/>
                <w:color w:val="282828"/>
                <w:sz w:val="18"/>
              </w:rPr>
              <w:t>M1: Portal Público y Búsqueda</w:t>
            </w:r>
          </w:p>
        </w:tc>
        <w:tc>
          <w:tcPr>
            <w:tcW w:type="dxa" w:w="2340"/>
            <w:shd w:fill="FFFFFF"/>
            <w:tcMar>
              <w:top w:w="80" w:type="dxa"/>
              <w:bottom w:w="80" w:type="dxa"/>
              <w:left w:w="80" w:type="dxa"/>
              <w:right w:w="80" w:type="dxa"/>
            </w:tcMar>
          </w:tcPr>
          <w:p>
            <w:r>
              <w:rPr>
                <w:rFonts w:ascii="Arial" w:hAnsi="Arial"/>
                <w:color w:val="282828"/>
                <w:sz w:val="18"/>
              </w:rPr>
              <w:t>Página principal, buscador, categorías, productos y comercios destacados.</w:t>
            </w:r>
          </w:p>
        </w:tc>
        <w:tc>
          <w:tcPr>
            <w:tcW w:type="dxa" w:w="2340"/>
            <w:shd w:fill="FFFFFF"/>
            <w:tcMar>
              <w:top w:w="80" w:type="dxa"/>
              <w:bottom w:w="80" w:type="dxa"/>
              <w:left w:w="80" w:type="dxa"/>
              <w:right w:w="80" w:type="dxa"/>
            </w:tcMar>
          </w:tcPr>
          <w:p>
            <w:r>
              <w:rPr>
                <w:rFonts w:ascii="Arial" w:hAnsi="Arial"/>
                <w:color w:val="282828"/>
                <w:sz w:val="18"/>
              </w:rPr>
              <w:t>M2, M3</w:t>
            </w:r>
          </w:p>
        </w:tc>
      </w:tr>
      <w:tr>
        <w:tc>
          <w:tcPr>
            <w:tcW w:type="dxa" w:w="2340"/>
            <w:shd w:fill="F9FAFB"/>
            <w:tcMar>
              <w:top w:w="80" w:type="dxa"/>
              <w:bottom w:w="80" w:type="dxa"/>
              <w:left w:w="80" w:type="dxa"/>
              <w:right w:w="80" w:type="dxa"/>
            </w:tcMar>
          </w:tcPr>
          <w:p>
            <w:r>
              <w:rPr>
                <w:rFonts w:ascii="Arial" w:hAnsi="Arial"/>
                <w:color w:val="282828"/>
                <w:sz w:val="18"/>
              </w:rPr>
              <w:t>SG2</w:t>
            </w:r>
          </w:p>
        </w:tc>
        <w:tc>
          <w:tcPr>
            <w:tcW w:type="dxa" w:w="2340"/>
            <w:shd w:fill="F9FAFB"/>
            <w:tcMar>
              <w:top w:w="80" w:type="dxa"/>
              <w:bottom w:w="80" w:type="dxa"/>
              <w:left w:w="80" w:type="dxa"/>
              <w:right w:w="80" w:type="dxa"/>
            </w:tcMar>
          </w:tcPr>
          <w:p>
            <w:r>
              <w:rPr>
                <w:rFonts w:ascii="Arial" w:hAnsi="Arial"/>
                <w:color w:val="282828"/>
                <w:sz w:val="18"/>
              </w:rPr>
              <w:t>M2: Micrositios y Comercios</w:t>
            </w:r>
          </w:p>
        </w:tc>
        <w:tc>
          <w:tcPr>
            <w:tcW w:type="dxa" w:w="2340"/>
            <w:shd w:fill="F9FAFB"/>
            <w:tcMar>
              <w:top w:w="80" w:type="dxa"/>
              <w:bottom w:w="80" w:type="dxa"/>
              <w:left w:w="80" w:type="dxa"/>
              <w:right w:w="80" w:type="dxa"/>
            </w:tcMar>
          </w:tcPr>
          <w:p>
            <w:r>
              <w:rPr>
                <w:rFonts w:ascii="Arial" w:hAnsi="Arial"/>
                <w:color w:val="282828"/>
                <w:sz w:val="18"/>
              </w:rPr>
              <w:t>Panel del comercio, aprobación/suspensión, registro y cálculo de comisiones.</w:t>
            </w:r>
          </w:p>
        </w:tc>
        <w:tc>
          <w:tcPr>
            <w:tcW w:type="dxa" w:w="2340"/>
            <w:shd w:fill="F9FAFB"/>
            <w:tcMar>
              <w:top w:w="80" w:type="dxa"/>
              <w:bottom w:w="80" w:type="dxa"/>
              <w:left w:w="80" w:type="dxa"/>
              <w:right w:w="80" w:type="dxa"/>
            </w:tcMar>
          </w:tcPr>
          <w:p>
            <w:r>
              <w:rPr>
                <w:rFonts w:ascii="Arial" w:hAnsi="Arial"/>
                <w:color w:val="282828"/>
                <w:sz w:val="18"/>
              </w:rPr>
              <w:t>Núcleo</w:t>
            </w:r>
          </w:p>
        </w:tc>
      </w:tr>
      <w:tr>
        <w:tc>
          <w:tcPr>
            <w:tcW w:type="dxa" w:w="2340"/>
            <w:shd w:fill="FFFFFF"/>
            <w:tcMar>
              <w:top w:w="80" w:type="dxa"/>
              <w:bottom w:w="80" w:type="dxa"/>
              <w:left w:w="80" w:type="dxa"/>
              <w:right w:w="80" w:type="dxa"/>
            </w:tcMar>
          </w:tcPr>
          <w:p>
            <w:r>
              <w:rPr>
                <w:rFonts w:ascii="Arial" w:hAnsi="Arial"/>
                <w:color w:val="282828"/>
                <w:sz w:val="18"/>
              </w:rPr>
              <w:t>SG3</w:t>
            </w:r>
          </w:p>
        </w:tc>
        <w:tc>
          <w:tcPr>
            <w:tcW w:type="dxa" w:w="2340"/>
            <w:shd w:fill="FFFFFF"/>
            <w:tcMar>
              <w:top w:w="80" w:type="dxa"/>
              <w:bottom w:w="80" w:type="dxa"/>
              <w:left w:w="80" w:type="dxa"/>
              <w:right w:w="80" w:type="dxa"/>
            </w:tcMar>
          </w:tcPr>
          <w:p>
            <w:r>
              <w:rPr>
                <w:rFonts w:ascii="Arial" w:hAnsi="Arial"/>
                <w:color w:val="282828"/>
                <w:sz w:val="18"/>
              </w:rPr>
              <w:t>M3: Catálogo de Productos</w:t>
            </w:r>
          </w:p>
        </w:tc>
        <w:tc>
          <w:tcPr>
            <w:tcW w:type="dxa" w:w="2340"/>
            <w:shd w:fill="FFFFFF"/>
            <w:tcMar>
              <w:top w:w="80" w:type="dxa"/>
              <w:bottom w:w="80" w:type="dxa"/>
              <w:left w:w="80" w:type="dxa"/>
              <w:right w:w="80" w:type="dxa"/>
            </w:tcMar>
          </w:tcPr>
          <w:p>
            <w:r>
              <w:rPr>
                <w:rFonts w:ascii="Arial" w:hAnsi="Arial"/>
                <w:color w:val="282828"/>
                <w:sz w:val="18"/>
              </w:rPr>
              <w:t>Productos, variaciones (color/talla), SKU, marcas, categorías y multimedia.</w:t>
            </w:r>
          </w:p>
        </w:tc>
        <w:tc>
          <w:tcPr>
            <w:tcW w:type="dxa" w:w="2340"/>
            <w:shd w:fill="FFFFFF"/>
            <w:tcMar>
              <w:top w:w="80" w:type="dxa"/>
              <w:bottom w:w="80" w:type="dxa"/>
              <w:left w:w="80" w:type="dxa"/>
              <w:right w:w="80" w:type="dxa"/>
            </w:tcMar>
          </w:tcPr>
          <w:p>
            <w:r>
              <w:rPr>
                <w:rFonts w:ascii="Arial" w:hAnsi="Arial"/>
                <w:color w:val="282828"/>
                <w:sz w:val="18"/>
              </w:rPr>
              <w:t>M2</w:t>
            </w:r>
          </w:p>
        </w:tc>
      </w:tr>
      <w:tr>
        <w:tc>
          <w:tcPr>
            <w:tcW w:type="dxa" w:w="2340"/>
            <w:shd w:fill="F9FAFB"/>
            <w:tcMar>
              <w:top w:w="80" w:type="dxa"/>
              <w:bottom w:w="80" w:type="dxa"/>
              <w:left w:w="80" w:type="dxa"/>
              <w:right w:w="80" w:type="dxa"/>
            </w:tcMar>
          </w:tcPr>
          <w:p>
            <w:r>
              <w:rPr>
                <w:rFonts w:ascii="Arial" w:hAnsi="Arial"/>
                <w:color w:val="282828"/>
                <w:sz w:val="18"/>
              </w:rPr>
              <w:t>SG4</w:t>
            </w:r>
          </w:p>
        </w:tc>
        <w:tc>
          <w:tcPr>
            <w:tcW w:type="dxa" w:w="2340"/>
            <w:shd w:fill="F9FAFB"/>
            <w:tcMar>
              <w:top w:w="80" w:type="dxa"/>
              <w:bottom w:w="80" w:type="dxa"/>
              <w:left w:w="80" w:type="dxa"/>
              <w:right w:w="80" w:type="dxa"/>
            </w:tcMar>
          </w:tcPr>
          <w:p>
            <w:r>
              <w:rPr>
                <w:rFonts w:ascii="Arial" w:hAnsi="Arial"/>
                <w:color w:val="282828"/>
                <w:sz w:val="18"/>
              </w:rPr>
              <w:t>M4: Inventario Multiempresa</w:t>
            </w:r>
          </w:p>
        </w:tc>
        <w:tc>
          <w:tcPr>
            <w:tcW w:type="dxa" w:w="2340"/>
            <w:shd w:fill="F9FAFB"/>
            <w:tcMar>
              <w:top w:w="80" w:type="dxa"/>
              <w:bottom w:w="80" w:type="dxa"/>
              <w:left w:w="80" w:type="dxa"/>
              <w:right w:w="80" w:type="dxa"/>
            </w:tcMar>
          </w:tcPr>
          <w:p>
            <w:r>
              <w:rPr>
                <w:rFonts w:ascii="Arial" w:hAnsi="Arial"/>
                <w:color w:val="282828"/>
                <w:sz w:val="18"/>
              </w:rPr>
              <w:t>Existencias por variación/ubicación, reservas atómicas (RN-04) y kardex.</w:t>
            </w:r>
          </w:p>
        </w:tc>
        <w:tc>
          <w:tcPr>
            <w:tcW w:type="dxa" w:w="2340"/>
            <w:shd w:fill="F9FAFB"/>
            <w:tcMar>
              <w:top w:w="80" w:type="dxa"/>
              <w:bottom w:w="80" w:type="dxa"/>
              <w:left w:w="80" w:type="dxa"/>
              <w:right w:w="80" w:type="dxa"/>
            </w:tcMar>
          </w:tcPr>
          <w:p>
            <w:r>
              <w:rPr>
                <w:rFonts w:ascii="Arial" w:hAnsi="Arial"/>
                <w:color w:val="282828"/>
                <w:sz w:val="18"/>
              </w:rPr>
              <w:t>M3</w:t>
            </w:r>
          </w:p>
        </w:tc>
      </w:tr>
      <w:tr>
        <w:tc>
          <w:tcPr>
            <w:tcW w:type="dxa" w:w="2340"/>
            <w:shd w:fill="FFFFFF"/>
            <w:tcMar>
              <w:top w:w="80" w:type="dxa"/>
              <w:bottom w:w="80" w:type="dxa"/>
              <w:left w:w="80" w:type="dxa"/>
              <w:right w:w="80" w:type="dxa"/>
            </w:tcMar>
          </w:tcPr>
          <w:p>
            <w:r>
              <w:rPr>
                <w:rFonts w:ascii="Arial" w:hAnsi="Arial"/>
                <w:color w:val="282828"/>
                <w:sz w:val="18"/>
              </w:rPr>
              <w:t>SG5</w:t>
            </w:r>
          </w:p>
        </w:tc>
        <w:tc>
          <w:tcPr>
            <w:tcW w:type="dxa" w:w="2340"/>
            <w:shd w:fill="FFFFFF"/>
            <w:tcMar>
              <w:top w:w="80" w:type="dxa"/>
              <w:bottom w:w="80" w:type="dxa"/>
              <w:left w:w="80" w:type="dxa"/>
              <w:right w:w="80" w:type="dxa"/>
            </w:tcMar>
          </w:tcPr>
          <w:p>
            <w:r>
              <w:rPr>
                <w:rFonts w:ascii="Arial" w:hAnsi="Arial"/>
                <w:color w:val="282828"/>
                <w:sz w:val="18"/>
              </w:rPr>
              <w:t>M5: Carrito y Pedidos</w:t>
            </w:r>
          </w:p>
        </w:tc>
        <w:tc>
          <w:tcPr>
            <w:tcW w:type="dxa" w:w="2340"/>
            <w:shd w:fill="FFFFFF"/>
            <w:tcMar>
              <w:top w:w="80" w:type="dxa"/>
              <w:bottom w:w="80" w:type="dxa"/>
              <w:left w:w="80" w:type="dxa"/>
              <w:right w:w="80" w:type="dxa"/>
            </w:tcMar>
          </w:tcPr>
          <w:p>
            <w:r>
              <w:rPr>
                <w:rFonts w:ascii="Arial" w:hAnsi="Arial"/>
                <w:color w:val="282828"/>
                <w:sz w:val="18"/>
              </w:rPr>
              <w:t>Carrito multicomercio, cálculo de impuestos/envío y estados del pedido.</w:t>
            </w:r>
          </w:p>
        </w:tc>
        <w:tc>
          <w:tcPr>
            <w:tcW w:type="dxa" w:w="2340"/>
            <w:shd w:fill="FFFFFF"/>
            <w:tcMar>
              <w:top w:w="80" w:type="dxa"/>
              <w:bottom w:w="80" w:type="dxa"/>
              <w:left w:w="80" w:type="dxa"/>
              <w:right w:w="80" w:type="dxa"/>
            </w:tcMar>
          </w:tcPr>
          <w:p>
            <w:r>
              <w:rPr>
                <w:rFonts w:ascii="Arial" w:hAnsi="Arial"/>
                <w:color w:val="282828"/>
                <w:sz w:val="18"/>
              </w:rPr>
              <w:t>M3, M4, M6</w:t>
            </w:r>
          </w:p>
        </w:tc>
      </w:tr>
      <w:tr>
        <w:tc>
          <w:tcPr>
            <w:tcW w:type="dxa" w:w="2340"/>
            <w:shd w:fill="F9FAFB"/>
            <w:tcMar>
              <w:top w:w="80" w:type="dxa"/>
              <w:bottom w:w="80" w:type="dxa"/>
              <w:left w:w="80" w:type="dxa"/>
              <w:right w:w="80" w:type="dxa"/>
            </w:tcMar>
          </w:tcPr>
          <w:p>
            <w:r>
              <w:rPr>
                <w:rFonts w:ascii="Arial" w:hAnsi="Arial"/>
                <w:color w:val="282828"/>
                <w:sz w:val="18"/>
              </w:rPr>
              <w:t>SG6</w:t>
            </w:r>
          </w:p>
        </w:tc>
        <w:tc>
          <w:tcPr>
            <w:tcW w:type="dxa" w:w="2340"/>
            <w:shd w:fill="F9FAFB"/>
            <w:tcMar>
              <w:top w:w="80" w:type="dxa"/>
              <w:bottom w:w="80" w:type="dxa"/>
              <w:left w:w="80" w:type="dxa"/>
              <w:right w:w="80" w:type="dxa"/>
            </w:tcMar>
          </w:tcPr>
          <w:p>
            <w:r>
              <w:rPr>
                <w:rFonts w:ascii="Arial" w:hAnsi="Arial"/>
                <w:color w:val="282828"/>
                <w:sz w:val="18"/>
              </w:rPr>
              <w:t>M6: Pagos y Facturación</w:t>
            </w:r>
          </w:p>
        </w:tc>
        <w:tc>
          <w:tcPr>
            <w:tcW w:type="dxa" w:w="2340"/>
            <w:shd w:fill="F9FAFB"/>
            <w:tcMar>
              <w:top w:w="80" w:type="dxa"/>
              <w:bottom w:w="80" w:type="dxa"/>
              <w:left w:w="80" w:type="dxa"/>
              <w:right w:w="80" w:type="dxa"/>
            </w:tcMar>
          </w:tcPr>
          <w:p>
            <w:r>
              <w:rPr>
                <w:rFonts w:ascii="Arial" w:hAnsi="Arial"/>
                <w:color w:val="282828"/>
                <w:sz w:val="18"/>
              </w:rPr>
              <w:t>Simulador de pagos (Tarjeta/SINPE), confirmación idempotente y facturas.</w:t>
            </w:r>
          </w:p>
        </w:tc>
        <w:tc>
          <w:tcPr>
            <w:tcW w:type="dxa" w:w="2340"/>
            <w:shd w:fill="F9FAFB"/>
            <w:tcMar>
              <w:top w:w="80" w:type="dxa"/>
              <w:bottom w:w="80" w:type="dxa"/>
              <w:left w:w="80" w:type="dxa"/>
              <w:right w:w="80" w:type="dxa"/>
            </w:tcMar>
          </w:tcPr>
          <w:p>
            <w:r>
              <w:rPr>
                <w:rFonts w:ascii="Arial" w:hAnsi="Arial"/>
                <w:color w:val="282828"/>
                <w:sz w:val="18"/>
              </w:rPr>
              <w:t>M5</w:t>
            </w:r>
          </w:p>
        </w:tc>
      </w:tr>
      <w:tr>
        <w:tc>
          <w:tcPr>
            <w:tcW w:type="dxa" w:w="2340"/>
            <w:shd w:fill="FFFFFF"/>
            <w:tcMar>
              <w:top w:w="80" w:type="dxa"/>
              <w:bottom w:w="80" w:type="dxa"/>
              <w:left w:w="80" w:type="dxa"/>
              <w:right w:w="80" w:type="dxa"/>
            </w:tcMar>
          </w:tcPr>
          <w:p>
            <w:r>
              <w:rPr>
                <w:rFonts w:ascii="Arial" w:hAnsi="Arial"/>
                <w:color w:val="282828"/>
                <w:sz w:val="18"/>
              </w:rPr>
              <w:t>SG7</w:t>
            </w:r>
          </w:p>
        </w:tc>
        <w:tc>
          <w:tcPr>
            <w:tcW w:type="dxa" w:w="2340"/>
            <w:shd w:fill="FFFFFF"/>
            <w:tcMar>
              <w:top w:w="80" w:type="dxa"/>
              <w:bottom w:w="80" w:type="dxa"/>
              <w:left w:w="80" w:type="dxa"/>
              <w:right w:w="80" w:type="dxa"/>
            </w:tcMar>
          </w:tcPr>
          <w:p>
            <w:r>
              <w:rPr>
                <w:rFonts w:ascii="Arial" w:hAnsi="Arial"/>
                <w:color w:val="282828"/>
                <w:sz w:val="18"/>
              </w:rPr>
              <w:t>M7: ERP Contable</w:t>
            </w:r>
          </w:p>
        </w:tc>
        <w:tc>
          <w:tcPr>
            <w:tcW w:type="dxa" w:w="2340"/>
            <w:shd w:fill="FFFFFF"/>
            <w:tcMar>
              <w:top w:w="80" w:type="dxa"/>
              <w:bottom w:w="80" w:type="dxa"/>
              <w:left w:w="80" w:type="dxa"/>
              <w:right w:w="80" w:type="dxa"/>
            </w:tcMar>
          </w:tcPr>
          <w:p>
            <w:r>
              <w:rPr>
                <w:rFonts w:ascii="Arial" w:hAnsi="Arial"/>
                <w:color w:val="282828"/>
                <w:sz w:val="18"/>
              </w:rPr>
              <w:t>Plan de cuentas, asientos automáticos de venta/costo, libro diario y mayor.</w:t>
            </w:r>
          </w:p>
        </w:tc>
        <w:tc>
          <w:tcPr>
            <w:tcW w:type="dxa" w:w="2340"/>
            <w:shd w:fill="FFFFFF"/>
            <w:tcMar>
              <w:top w:w="80" w:type="dxa"/>
              <w:bottom w:w="80" w:type="dxa"/>
              <w:left w:w="80" w:type="dxa"/>
              <w:right w:w="80" w:type="dxa"/>
            </w:tcMar>
          </w:tcPr>
          <w:p>
            <w:r>
              <w:rPr>
                <w:rFonts w:ascii="Arial" w:hAnsi="Arial"/>
                <w:color w:val="282828"/>
                <w:sz w:val="18"/>
              </w:rPr>
              <w:t>M5, M6, M2</w:t>
            </w:r>
          </w:p>
        </w:tc>
      </w:tr>
      <w:tr>
        <w:tc>
          <w:tcPr>
            <w:tcW w:type="dxa" w:w="2340"/>
            <w:shd w:fill="F9FAFB"/>
            <w:tcMar>
              <w:top w:w="80" w:type="dxa"/>
              <w:bottom w:w="80" w:type="dxa"/>
              <w:left w:w="80" w:type="dxa"/>
              <w:right w:w="80" w:type="dxa"/>
            </w:tcMar>
          </w:tcPr>
          <w:p>
            <w:r>
              <w:rPr>
                <w:rFonts w:ascii="Arial" w:hAnsi="Arial"/>
                <w:color w:val="282828"/>
                <w:sz w:val="18"/>
              </w:rPr>
              <w:t>Comité</w:t>
            </w:r>
          </w:p>
        </w:tc>
        <w:tc>
          <w:tcPr>
            <w:tcW w:type="dxa" w:w="2340"/>
            <w:shd w:fill="F9FAFB"/>
            <w:tcMar>
              <w:top w:w="80" w:type="dxa"/>
              <w:bottom w:w="80" w:type="dxa"/>
              <w:left w:w="80" w:type="dxa"/>
              <w:right w:w="80" w:type="dxa"/>
            </w:tcMar>
          </w:tcPr>
          <w:p>
            <w:r>
              <w:rPr>
                <w:rFonts w:ascii="Arial" w:hAnsi="Arial"/>
                <w:color w:val="282828"/>
                <w:sz w:val="18"/>
              </w:rPr>
              <w:t>Núcleo Compartido</w:t>
            </w:r>
          </w:p>
        </w:tc>
        <w:tc>
          <w:tcPr>
            <w:tcW w:type="dxa" w:w="2340"/>
            <w:shd w:fill="F9FAFB"/>
            <w:tcMar>
              <w:top w:w="80" w:type="dxa"/>
              <w:bottom w:w="80" w:type="dxa"/>
              <w:left w:w="80" w:type="dxa"/>
              <w:right w:w="80" w:type="dxa"/>
            </w:tcMar>
          </w:tcPr>
          <w:p>
            <w:r>
              <w:rPr>
                <w:rFonts w:ascii="Arial" w:hAnsi="Arial"/>
                <w:color w:val="282828"/>
                <w:sz w:val="18"/>
              </w:rPr>
              <w:t>Identidad, roles, auditoría, manejo de errores y aislamiento por tienda (RN-12).</w:t>
            </w:r>
          </w:p>
        </w:tc>
        <w:tc>
          <w:tcPr>
            <w:tcW w:type="dxa" w:w="2340"/>
            <w:shd w:fill="F9FAFB"/>
            <w:tcMar>
              <w:top w:w="80" w:type="dxa"/>
              <w:bottom w:w="80" w:type="dxa"/>
              <w:left w:w="80" w:type="dxa"/>
              <w:right w:w="80" w:type="dxa"/>
            </w:tcMar>
          </w:tcPr>
          <w:p>
            <w:r>
              <w:rPr>
                <w:rFonts w:ascii="Arial" w:hAnsi="Arial"/>
                <w:color w:val="282828"/>
                <w:sz w:val="18"/>
              </w:rPr>
              <w:t>Transversal</w:t>
            </w:r>
          </w:p>
        </w:tc>
      </w:tr>
    </w:tbl>
    <w:p>
      <w:pPr>
        <w:spacing w:after="120"/>
      </w:pPr>
    </w:p>
    <w:p>
      <w:pPr>
        <w:keepNext/>
        <w:spacing w:before="320" w:after="120"/>
      </w:pPr>
      <w:r>
        <w:rPr>
          <w:rFonts w:ascii="Arial" w:hAnsi="Arial"/>
          <w:b/>
          <w:color w:val="1B365D"/>
          <w:sz w:val="30"/>
        </w:rPr>
        <w:t>2. Estructura de Carpetas: ¿Para qué sirve cada una y qué formato lleva?</w:t>
      </w:r>
    </w:p>
    <w:p>
      <w:pPr>
        <w:spacing w:before="40" w:after="100" w:line="276" w:lineRule="auto"/>
      </w:pPr>
      <w:r>
        <w:rPr>
          <w:rFonts w:ascii="Arial" w:hAnsi="Arial"/>
          <w:i w:val="0"/>
          <w:color w:val="282828"/>
          <w:sz w:val="21"/>
        </w:rPr>
        <w:t>A continuación se detalla la función exacta de cada directorio y las reglas de nomenclatura que debes seguir:</w:t>
      </w:r>
    </w:p>
    <w:p>
      <w:pPr>
        <w:keepNext/>
        <w:spacing w:before="240" w:after="80"/>
      </w:pPr>
      <w:r>
        <w:rPr>
          <w:rFonts w:ascii="Arial" w:hAnsi="Arial"/>
          <w:b/>
          <w:color w:val="4B6B94"/>
          <w:sz w:val="25"/>
        </w:rPr>
        <w:t>A. Directorio app/ (El Núcleo de la Lógica PHP)</w:t>
      </w:r>
    </w:p>
    <w:p>
      <w:pPr>
        <w:pStyle w:val="ListBullet"/>
        <w:spacing w:before="20" w:after="60" w:line="276" w:lineRule="auto"/>
        <w:ind w:left="360"/>
      </w:pPr>
      <w:r>
        <w:rPr>
          <w:rFonts w:ascii="Arial" w:hAnsi="Arial"/>
          <w:b/>
          <w:color w:val="282828"/>
          <w:sz w:val="20"/>
        </w:rPr>
        <w:t xml:space="preserve">app/Contracts/M*/ : </w:t>
      </w:r>
      <w:r>
        <w:rPr>
          <w:rFonts w:ascii="Arial" w:hAnsi="Arial"/>
          <w:color w:val="282828"/>
          <w:sz w:val="20"/>
        </w:rPr>
        <w:t>Aquí se definen los Contratos (Interfaces PHP). Es la parte pública que tu módulo muestra a los demás compañeros. Formato: PascalCase, terminado en ServiceInterface.php (Ejemplo: InventarioServiceInterface.php).</w:t>
      </w:r>
    </w:p>
    <w:p>
      <w:pPr>
        <w:pStyle w:val="ListBullet"/>
        <w:spacing w:before="20" w:after="60" w:line="276" w:lineRule="auto"/>
        <w:ind w:left="360"/>
      </w:pPr>
      <w:r>
        <w:rPr>
          <w:rFonts w:ascii="Arial" w:hAnsi="Arial"/>
          <w:b/>
          <w:color w:val="282828"/>
          <w:sz w:val="20"/>
        </w:rPr>
        <w:t xml:space="preserve">app/Services/M*/ : </w:t>
      </w:r>
      <w:r>
        <w:rPr>
          <w:rFonts w:ascii="Arial" w:hAnsi="Arial"/>
          <w:color w:val="282828"/>
          <w:sz w:val="20"/>
        </w:rPr>
        <w:t>Aquí programas la lógica real que implementa tu contrato. Es donde ocurren los cálculos y procesos. Formato: PascalCase, terminado en Service.php (Ejemplo: InventarioService.php).</w:t>
      </w:r>
    </w:p>
    <w:p>
      <w:pPr>
        <w:pStyle w:val="ListBullet"/>
        <w:spacing w:before="20" w:after="60" w:line="276" w:lineRule="auto"/>
        <w:ind w:left="360"/>
      </w:pPr>
      <w:r>
        <w:rPr>
          <w:rFonts w:ascii="Arial" w:hAnsi="Arial"/>
          <w:b/>
          <w:color w:val="282828"/>
          <w:sz w:val="20"/>
        </w:rPr>
        <w:t xml:space="preserve">app/Http/Controllers/M*/ : </w:t>
      </w:r>
      <w:r>
        <w:rPr>
          <w:rFonts w:ascii="Arial" w:hAnsi="Arial"/>
          <w:color w:val="282828"/>
          <w:sz w:val="20"/>
        </w:rPr>
        <w:t>Controladores web/API. Son deliberadamente 'delgados' (Thin Controllers): solo reciben la petición del usuario, validan datos básicos y llaman a tu Service. Formato: PascalCase, terminado en Controller.php (Ejemplo: InventarioController.php).</w:t>
      </w:r>
    </w:p>
    <w:p>
      <w:pPr>
        <w:pStyle w:val="ListBullet"/>
        <w:spacing w:before="20" w:after="60" w:line="276" w:lineRule="auto"/>
        <w:ind w:left="360"/>
      </w:pPr>
      <w:r>
        <w:rPr>
          <w:rFonts w:ascii="Arial" w:hAnsi="Arial"/>
          <w:b/>
          <w:color w:val="282828"/>
          <w:sz w:val="20"/>
        </w:rPr>
        <w:t xml:space="preserve">app/Models/M*/ : </w:t>
      </w:r>
      <w:r>
        <w:rPr>
          <w:rFonts w:ascii="Arial" w:hAnsi="Arial"/>
          <w:color w:val="282828"/>
          <w:sz w:val="20"/>
        </w:rPr>
        <w:t>Modelos de base de datos de Eloquent. Son 100% PRIVADOS de tu módulo. Ningún otro subgrupo puede usarlos. Formato: PascalCase en singular (Ejemplo: Existencia.php, Kardex.php).</w:t>
      </w:r>
    </w:p>
    <w:p>
      <w:pPr>
        <w:pStyle w:val="ListBullet"/>
        <w:spacing w:before="20" w:after="60" w:line="276" w:lineRule="auto"/>
        <w:ind w:left="360"/>
      </w:pPr>
      <w:r>
        <w:rPr>
          <w:rFonts w:ascii="Arial" w:hAnsi="Arial"/>
          <w:b/>
          <w:color w:val="282828"/>
          <w:sz w:val="20"/>
        </w:rPr>
        <w:t xml:space="preserve">app/Providers/ : </w:t>
      </w:r>
      <w:r>
        <w:rPr>
          <w:rFonts w:ascii="Arial" w:hAnsi="Arial"/>
          <w:color w:val="282828"/>
          <w:sz w:val="20"/>
        </w:rPr>
        <w:t>Contiene AppServiceProvider.php, donde se le dice a Laravel qué clase concreta debe ejecutarse cuando alguien solicita una interfaz.</w:t>
      </w:r>
    </w:p>
    <w:p>
      <w:pPr>
        <w:keepNext/>
        <w:spacing w:before="240" w:after="80"/>
      </w:pPr>
      <w:r>
        <w:rPr>
          <w:rFonts w:ascii="Arial" w:hAnsi="Arial"/>
          <w:b/>
          <w:color w:val="4B6B94"/>
          <w:sz w:val="25"/>
        </w:rPr>
        <w:t>B. Directorio resources/views/ (Vistas e Interfaces)</w:t>
      </w:r>
    </w:p>
    <w:p>
      <w:pPr>
        <w:pStyle w:val="ListBullet"/>
        <w:spacing w:before="20" w:after="60" w:line="276" w:lineRule="auto"/>
        <w:ind w:left="360"/>
      </w:pPr>
      <w:r>
        <w:rPr>
          <w:rFonts w:ascii="Arial" w:hAnsi="Arial"/>
          <w:b/>
          <w:color w:val="282828"/>
          <w:sz w:val="20"/>
        </w:rPr>
        <w:t xml:space="preserve">resources/views/m*-*/ : </w:t>
      </w:r>
      <w:r>
        <w:rPr>
          <w:rFonts w:ascii="Arial" w:hAnsi="Arial"/>
          <w:color w:val="282828"/>
          <w:sz w:val="20"/>
        </w:rPr>
        <w:t>Contiene las plantillas HTML / Blade para las pantallas de cada módulo. Regla obligatoria: Los nombres de carpetas van en minúsculas con guiones (kebab-case). Ejemplo: resources/views/m1-portal/, resources/views/m2-comercios/.</w:t>
      </w:r>
    </w:p>
    <w:p>
      <w:pPr>
        <w:keepNext/>
        <w:spacing w:before="240" w:after="80"/>
      </w:pPr>
      <w:r>
        <w:rPr>
          <w:rFonts w:ascii="Arial" w:hAnsi="Arial"/>
          <w:b/>
          <w:color w:val="4B6B94"/>
          <w:sz w:val="25"/>
        </w:rPr>
        <w:t>C. Directorio routes/ (Enrutamiento Web y API)</w:t>
      </w:r>
    </w:p>
    <w:p>
      <w:pPr>
        <w:pStyle w:val="ListBullet"/>
        <w:spacing w:before="20" w:after="60" w:line="276" w:lineRule="auto"/>
        <w:ind w:left="360"/>
      </w:pPr>
      <w:r>
        <w:rPr>
          <w:rFonts w:ascii="Arial" w:hAnsi="Arial"/>
          <w:b/>
          <w:color w:val="282828"/>
          <w:sz w:val="20"/>
        </w:rPr>
        <w:t xml:space="preserve">routes/modules/ : </w:t>
      </w:r>
      <w:r>
        <w:rPr>
          <w:rFonts w:ascii="Arial" w:hAnsi="Arial"/>
          <w:color w:val="282828"/>
          <w:sz w:val="20"/>
        </w:rPr>
        <w:t>Cada subgrupo tiene su propio archivo de rutas para no editar el mismo archivo central y evitar conflictos en Git (Ejemplos: routes/modules/m1_portal.php, routes/modules/m4_inventario.php).</w:t>
      </w:r>
    </w:p>
    <w:p>
      <w:pPr>
        <w:pStyle w:val="ListBullet"/>
        <w:spacing w:before="20" w:after="60" w:line="276" w:lineRule="auto"/>
        <w:ind w:left="360"/>
      </w:pPr>
      <w:r>
        <w:rPr>
          <w:rFonts w:ascii="Arial" w:hAnsi="Arial"/>
          <w:b/>
          <w:color w:val="282828"/>
          <w:sz w:val="20"/>
        </w:rPr>
        <w:t xml:space="preserve">routes/web.php : </w:t>
      </w:r>
      <w:r>
        <w:rPr>
          <w:rFonts w:ascii="Arial" w:hAnsi="Arial"/>
          <w:color w:val="282828"/>
          <w:sz w:val="20"/>
        </w:rPr>
        <w:t>Archivo principal de Laravel que agrupa todas las rutas con su prefijo oficial (Route::prefix('m1'), Route::prefix('m2'), etc.).</w:t>
      </w:r>
    </w:p>
    <w:p>
      <w:pPr>
        <w:keepNext/>
        <w:spacing w:before="240" w:after="80"/>
      </w:pPr>
      <w:r>
        <w:rPr>
          <w:rFonts w:ascii="Arial" w:hAnsi="Arial"/>
          <w:b/>
          <w:color w:val="4B6B94"/>
          <w:sz w:val="25"/>
        </w:rPr>
        <w:t>D. Directorio contracts/ (Documentación OpenAPI / Swagger)</w:t>
      </w:r>
    </w:p>
    <w:p>
      <w:pPr>
        <w:pStyle w:val="ListBullet"/>
        <w:spacing w:before="20" w:after="60" w:line="276" w:lineRule="auto"/>
        <w:ind w:left="360"/>
      </w:pPr>
      <w:r>
        <w:rPr>
          <w:rFonts w:ascii="Arial" w:hAnsi="Arial"/>
          <w:b/>
          <w:color w:val="282828"/>
          <w:sz w:val="20"/>
        </w:rPr>
        <w:t xml:space="preserve">contracts/m*-*/v1/openapi.yaml : </w:t>
      </w:r>
      <w:r>
        <w:rPr>
          <w:rFonts w:ascii="Arial" w:hAnsi="Arial"/>
          <w:color w:val="282828"/>
          <w:sz w:val="20"/>
        </w:rPr>
        <w:t>Contiene la especificación formal de la API de tu módulo en formato YAML. Permite que tus compañeros sepan qué datos recibe y devuelve cada función antes de que esté programada.</w:t>
      </w:r>
    </w:p>
    <w:p>
      <w:pPr>
        <w:keepNext/>
        <w:spacing w:before="240" w:after="80"/>
      </w:pPr>
      <w:r>
        <w:rPr>
          <w:rFonts w:ascii="Arial" w:hAnsi="Arial"/>
          <w:b/>
          <w:color w:val="4B6B94"/>
          <w:sz w:val="25"/>
        </w:rPr>
        <w:t>E. Directorio docs/ (Documentación Académica del Curso)</w:t>
      </w:r>
    </w:p>
    <w:p>
      <w:pPr>
        <w:pStyle w:val="ListBullet"/>
        <w:spacing w:before="20" w:after="60" w:line="276" w:lineRule="auto"/>
        <w:ind w:left="360"/>
      </w:pPr>
      <w:r>
        <w:rPr>
          <w:rFonts w:ascii="Arial" w:hAnsi="Arial"/>
          <w:b/>
          <w:color w:val="282828"/>
          <w:sz w:val="20"/>
        </w:rPr>
        <w:t xml:space="preserve">docs/actas-comite/ : </w:t>
      </w:r>
      <w:r>
        <w:rPr>
          <w:rFonts w:ascii="Arial" w:hAnsi="Arial"/>
          <w:color w:val="282828"/>
          <w:sz w:val="20"/>
        </w:rPr>
        <w:t>Actas de cada reunión semanal del Comité de Arquitectura (Anexo D del PDF).</w:t>
      </w:r>
    </w:p>
    <w:p>
      <w:pPr>
        <w:pStyle w:val="ListBullet"/>
        <w:spacing w:before="20" w:after="60" w:line="276" w:lineRule="auto"/>
        <w:ind w:left="360"/>
      </w:pPr>
      <w:r>
        <w:rPr>
          <w:rFonts w:ascii="Arial" w:hAnsi="Arial"/>
          <w:b/>
          <w:color w:val="282828"/>
          <w:sz w:val="20"/>
        </w:rPr>
        <w:t xml:space="preserve">docs/actas-subgrupos/ : </w:t>
      </w:r>
      <w:r>
        <w:rPr>
          <w:rFonts w:ascii="Arial" w:hAnsi="Arial"/>
          <w:color w:val="282828"/>
          <w:sz w:val="20"/>
        </w:rPr>
        <w:t>Actas de constitución y asignación de roles de cada uno de los 7 subgrupos (Anexo A).</w:t>
      </w:r>
    </w:p>
    <w:p>
      <w:pPr>
        <w:pStyle w:val="ListBullet"/>
        <w:spacing w:before="20" w:after="60" w:line="276" w:lineRule="auto"/>
        <w:ind w:left="360"/>
      </w:pPr>
      <w:r>
        <w:rPr>
          <w:rFonts w:ascii="Arial" w:hAnsi="Arial"/>
          <w:b/>
          <w:color w:val="282828"/>
          <w:sz w:val="20"/>
        </w:rPr>
        <w:t xml:space="preserve">docs/adr/ : </w:t>
      </w:r>
      <w:r>
        <w:rPr>
          <w:rFonts w:ascii="Arial" w:hAnsi="Arial"/>
          <w:color w:val="282828"/>
          <w:sz w:val="20"/>
        </w:rPr>
        <w:t>Architecture Decision Records: registros formales de decisiones técnicas clave.</w:t>
      </w:r>
    </w:p>
    <w:p>
      <w:pPr>
        <w:pStyle w:val="ListBullet"/>
        <w:spacing w:before="20" w:after="60" w:line="276" w:lineRule="auto"/>
        <w:ind w:left="360"/>
      </w:pPr>
      <w:r>
        <w:rPr>
          <w:rFonts w:ascii="Arial" w:hAnsi="Arial"/>
          <w:b/>
          <w:color w:val="282828"/>
          <w:sz w:val="20"/>
        </w:rPr>
        <w:t xml:space="preserve">docs/solicitudes-cambio/ : </w:t>
      </w:r>
      <w:r>
        <w:rPr>
          <w:rFonts w:ascii="Arial" w:hAnsi="Arial"/>
          <w:color w:val="282828"/>
          <w:sz w:val="20"/>
        </w:rPr>
        <w:t>Formularios formales para cuando un requerimiento cambie durante el ciclo (Anexo B).</w:t>
      </w:r>
    </w:p>
    <w:p>
      <w:pPr>
        <w:pStyle w:val="ListBullet"/>
        <w:spacing w:before="20" w:after="60" w:line="276" w:lineRule="auto"/>
        <w:ind w:left="360"/>
      </w:pPr>
      <w:r>
        <w:rPr>
          <w:rFonts w:ascii="Arial" w:hAnsi="Arial"/>
          <w:b/>
          <w:color w:val="282828"/>
          <w:sz w:val="20"/>
        </w:rPr>
        <w:t xml:space="preserve">docs/referencias.md : </w:t>
      </w:r>
      <w:r>
        <w:rPr>
          <w:rFonts w:ascii="Arial" w:hAnsi="Arial"/>
          <w:color w:val="282828"/>
          <w:sz w:val="20"/>
        </w:rPr>
        <w:t>Bibliografía y citas en formato APA 7.ª edición exigidas por la rúbrica.</w:t>
      </w:r>
    </w:p>
    <w:p>
      <w:pPr>
        <w:keepNext/>
        <w:spacing w:before="240" w:after="80"/>
      </w:pPr>
      <w:r>
        <w:rPr>
          <w:rFonts w:ascii="Arial" w:hAnsi="Arial"/>
          <w:b/>
          <w:color w:val="4B6B94"/>
          <w:sz w:val="25"/>
        </w:rPr>
        <w:t>F. Directorio tests/ (Pruebas Automatizadas)</w:t>
      </w:r>
    </w:p>
    <w:p>
      <w:pPr>
        <w:pStyle w:val="ListBullet"/>
        <w:spacing w:before="20" w:after="60" w:line="276" w:lineRule="auto"/>
        <w:ind w:left="360"/>
      </w:pPr>
      <w:r>
        <w:rPr>
          <w:rFonts w:ascii="Arial" w:hAnsi="Arial"/>
          <w:b/>
          <w:color w:val="282828"/>
          <w:sz w:val="20"/>
        </w:rPr>
        <w:t xml:space="preserve">tests/Unit/M*/ : </w:t>
      </w:r>
      <w:r>
        <w:rPr>
          <w:rFonts w:ascii="Arial" w:hAnsi="Arial"/>
          <w:color w:val="282828"/>
          <w:sz w:val="20"/>
        </w:rPr>
        <w:t>Pruebas unitarias de lógica interna de cada subgrupo (mínimo 10 por módulo en PC4).</w:t>
      </w:r>
    </w:p>
    <w:p>
      <w:pPr>
        <w:pStyle w:val="ListBullet"/>
        <w:spacing w:before="20" w:after="60" w:line="276" w:lineRule="auto"/>
        <w:ind w:left="360"/>
      </w:pPr>
      <w:r>
        <w:rPr>
          <w:rFonts w:ascii="Arial" w:hAnsi="Arial"/>
          <w:b/>
          <w:color w:val="282828"/>
          <w:sz w:val="20"/>
        </w:rPr>
        <w:t xml:space="preserve">tests/Feature/M*/ : </w:t>
      </w:r>
      <w:r>
        <w:rPr>
          <w:rFonts w:ascii="Arial" w:hAnsi="Arial"/>
          <w:color w:val="282828"/>
          <w:sz w:val="20"/>
        </w:rPr>
        <w:t>Pruebas de integración del flujo de compras y pantallas.</w:t>
      </w:r>
    </w:p>
    <w:p>
      <w:pPr>
        <w:pStyle w:val="ListBullet"/>
        <w:spacing w:before="20" w:after="60" w:line="276" w:lineRule="auto"/>
        <w:ind w:left="360"/>
      </w:pPr>
      <w:r>
        <w:rPr>
          <w:rFonts w:ascii="Arial" w:hAnsi="Arial"/>
          <w:b/>
          <w:color w:val="282828"/>
          <w:sz w:val="20"/>
        </w:rPr>
        <w:t xml:space="preserve">tests/Feature/Contracts/ : </w:t>
      </w:r>
      <w:r>
        <w:rPr>
          <w:rFonts w:ascii="Arial" w:hAnsi="Arial"/>
          <w:color w:val="282828"/>
          <w:sz w:val="20"/>
        </w:rPr>
        <w:t>Pruebas automáticas que verifican que los contratos entre subgrupos se cumplan y no se rompan.</w:t>
      </w:r>
    </w:p>
    <w:p>
      <w:pPr>
        <w:keepNext/>
        <w:spacing w:before="320" w:after="120"/>
      </w:pPr>
      <w:r>
        <w:rPr>
          <w:rFonts w:ascii="Arial" w:hAnsi="Arial"/>
          <w:b/>
          <w:color w:val="1B365D"/>
          <w:sz w:val="30"/>
        </w:rPr>
        <w:t>3. Las 5 Reglas Sagradas que NO se Pueden Incumplir</w:t>
      </w:r>
    </w:p>
    <w:tbl>
      <w:tblPr>
        <w:tblW w:type="auto" w:w="0"/>
        <w:jc w:val="center"/>
        <w:tblLook w:firstColumn="1" w:firstRow="1" w:lastColumn="0" w:lastRow="0" w:noHBand="0" w:noVBand="1" w:val="04A0"/>
      </w:tblPr>
      <w:tblGrid>
        <w:gridCol w:w="9360"/>
      </w:tblGrid>
      <w:tr>
        <w:tc>
          <w:tcPr>
            <w:tcW w:type="dxa" w:w="9360"/>
            <w:shd w:fill="FDE8E8"/>
            <w:tcMar>
              <w:top w:w="140" w:type="dxa"/>
              <w:bottom w:w="140" w:type="dxa"/>
              <w:left w:w="180" w:type="dxa"/>
              <w:right w:w="180" w:type="dxa"/>
            </w:tcMar>
            <w:tcBorders>
              <w:left w:val="single" w:sz="36" w:space="0" w:color="C81E1E"/>
              <w:top w:val="none"/>
              <w:right w:val="none"/>
              <w:bottom w:val="none"/>
            </w:tcBorders>
          </w:tcPr>
          <w:p>
            <w:pPr>
              <w:spacing w:before="0" w:after="40"/>
            </w:pPr>
            <w:r>
              <w:rPr>
                <w:rFonts w:ascii="Arial" w:hAnsi="Arial"/>
                <w:b/>
                <w:color w:val="B42828"/>
                <w:sz w:val="21"/>
              </w:rPr>
              <w:t>📌 ADVERTENCIA DE EVALUACIÓN</w:t>
              <w:br/>
            </w:r>
            <w:r>
              <w:rPr>
                <w:rFonts w:ascii="Arial" w:hAnsi="Arial"/>
                <w:color w:val="282828"/>
                <w:sz w:val="19"/>
              </w:rPr>
              <w:t>El profesor evaluará de forma estricta el cumplimiento de la sección 5.4 del enunciado. Cometer infracciones en estas reglas causará rebajas severas de puntos en los Puntos de Control y la Defensa Final.</w:t>
            </w:r>
          </w:p>
        </w:tc>
      </w:tr>
    </w:tbl>
    <w:p>
      <w:pPr>
        <w:spacing w:after="80"/>
      </w:pPr>
    </w:p>
    <w:p>
      <w:pPr>
        <w:keepNext/>
        <w:spacing w:before="240" w:after="80"/>
      </w:pPr>
      <w:r>
        <w:rPr>
          <w:rFonts w:ascii="Arial" w:hAnsi="Arial"/>
          <w:b/>
          <w:color w:val="4B6B94"/>
          <w:sz w:val="25"/>
        </w:rPr>
        <w:t>Regla 1: PROHIBICIÓN TOTAL DE LECTURA DIRECTA ENTRE MÓDULOS</w:t>
      </w:r>
    </w:p>
    <w:p>
      <w:pPr>
        <w:spacing w:before="40" w:after="100" w:line="276" w:lineRule="auto"/>
      </w:pPr>
      <w:r>
        <w:rPr>
          <w:rFonts w:ascii="Arial" w:hAnsi="Arial"/>
          <w:b/>
          <w:color w:val="282828"/>
          <w:sz w:val="21"/>
        </w:rPr>
        <w:t xml:space="preserve">Ejemplo claro: </w:t>
      </w:r>
      <w:r>
        <w:rPr>
          <w:rFonts w:ascii="Arial" w:hAnsi="Arial"/>
          <w:i w:val="0"/>
          <w:color w:val="282828"/>
          <w:sz w:val="21"/>
        </w:rPr>
        <w:t xml:space="preserve">Ningún módulo puede leer directamente las tablas de base de datos de otro módulo ni importar sus Modelos Eloquent. Si el Módulo de Pedidos (M5) necesita saber si hay stock, </w:t>
      </w:r>
    </w:p>
    <w:p>
      <w:pPr>
        <w:pStyle w:val="ListBullet"/>
        <w:spacing w:before="20" w:after="60" w:line="276" w:lineRule="auto"/>
        <w:ind w:left="360"/>
      </w:pPr>
      <w:r>
        <w:rPr>
          <w:rFonts w:ascii="Arial" w:hAnsi="Arial"/>
          <w:color w:val="282828"/>
          <w:sz w:val="20"/>
        </w:rPr>
        <w:t>❌ PROHIBIDO: use App\Models\M4_Inventario\Existencia; en el código de M5.</w:t>
      </w:r>
    </w:p>
    <w:p>
      <w:pPr>
        <w:pStyle w:val="ListBullet"/>
        <w:spacing w:before="20" w:after="60" w:line="276" w:lineRule="auto"/>
        <w:ind w:left="360"/>
      </w:pPr>
      <w:r>
        <w:rPr>
          <w:rFonts w:ascii="Arial" w:hAnsi="Arial"/>
          <w:color w:val="282828"/>
          <w:sz w:val="20"/>
        </w:rPr>
        <w:t>❌ PROHIBIDO: DB::table('inventario_existencias')-&gt;where(...) desde M5.</w:t>
      </w:r>
    </w:p>
    <w:p>
      <w:pPr>
        <w:pStyle w:val="ListBullet"/>
        <w:spacing w:before="20" w:after="60" w:line="276" w:lineRule="auto"/>
        <w:ind w:left="360"/>
      </w:pPr>
      <w:r>
        <w:rPr>
          <w:rFonts w:ascii="Arial" w:hAnsi="Arial"/>
          <w:color w:val="282828"/>
          <w:sz w:val="20"/>
        </w:rPr>
        <w:t xml:space="preserve"> CORRECTO: Pedirle el dato a M4 llamando a su interfaz InventarioServiceInterface::consultarExistencias().</w:t>
      </w:r>
    </w:p>
    <w:p>
      <w:pPr>
        <w:keepNext/>
        <w:spacing w:before="240" w:after="80"/>
      </w:pPr>
      <w:r>
        <w:rPr>
          <w:rFonts w:ascii="Arial" w:hAnsi="Arial"/>
          <w:b/>
          <w:color w:val="4B6B94"/>
          <w:sz w:val="25"/>
        </w:rPr>
        <w:t>Regla 2: PROPIEDAD Y RESERVA DE NOMBRES DE TABLAS</w:t>
      </w:r>
    </w:p>
    <w:p>
      <w:pPr>
        <w:spacing w:before="40" w:after="100" w:line="276" w:lineRule="auto"/>
      </w:pPr>
      <w:r>
        <w:rPr>
          <w:rFonts w:ascii="Arial" w:hAnsi="Arial"/>
          <w:i w:val="0"/>
          <w:color w:val="282828"/>
          <w:sz w:val="21"/>
        </w:rPr>
        <w:t>Cada tabla de la base de datos pertenece a UN SOLO módulo. Solo ese módulo puede crearla, insertar o modificar datos en ella. Además, los nombres de las tablas deben ser descriptivos con prefijo de módulo. Ejemplo: inventario_existencias, pedidos_lineas, pagos_transacciones (no usar nombres genéricos como existencias o lineas).</w:t>
      </w:r>
    </w:p>
    <w:p>
      <w:pPr>
        <w:keepNext/>
        <w:spacing w:before="240" w:after="80"/>
      </w:pPr>
      <w:r>
        <w:rPr>
          <w:rFonts w:ascii="Arial" w:hAnsi="Arial"/>
          <w:b/>
          <w:color w:val="4B6B94"/>
          <w:sz w:val="25"/>
        </w:rPr>
        <w:t>Regla 3: CONTRATO ANTES QUE CÓDIGO</w:t>
      </w:r>
    </w:p>
    <w:p>
      <w:pPr>
        <w:spacing w:before="40" w:after="100" w:line="276" w:lineRule="auto"/>
      </w:pPr>
      <w:r>
        <w:rPr>
          <w:rFonts w:ascii="Arial" w:hAnsi="Arial"/>
          <w:i w:val="0"/>
          <w:color w:val="282828"/>
          <w:sz w:val="21"/>
        </w:rPr>
        <w:t>Antes de escribir la lógica interna de tu módulo, debes publicar tu Interfaz PHP y tu archivo OpenAPI. Esto permite que los subgrupos que dependen de ti no se queden de brazos cruzados: ellos pueden crear un Doble de Prueba (Mock) y seguir avanzando sin esperarte.</w:t>
      </w:r>
    </w:p>
    <w:p>
      <w:pPr>
        <w:keepNext/>
        <w:spacing w:before="240" w:after="80"/>
      </w:pPr>
      <w:r>
        <w:rPr>
          <w:rFonts w:ascii="Arial" w:hAnsi="Arial"/>
          <w:b/>
          <w:color w:val="4B6B94"/>
          <w:sz w:val="25"/>
        </w:rPr>
        <w:t>Regla 4: AISLAMIENTO MULTI-TENANT POR COMERCIO (Regla RN-12)</w:t>
      </w:r>
    </w:p>
    <w:p>
      <w:pPr>
        <w:spacing w:before="40" w:after="100" w:line="276" w:lineRule="auto"/>
      </w:pPr>
      <w:r>
        <w:rPr>
          <w:rFonts w:ascii="Arial" w:hAnsi="Arial"/>
          <w:i w:val="0"/>
          <w:color w:val="282828"/>
          <w:sz w:val="21"/>
        </w:rPr>
        <w:t>Pacíficos Online aloja a muchas tiendas distintas. Un comercio JAMÁS debe tener acceso a ver pedidos, clientes ni existencias de otro comercio. Esta seguridad se aplica en el Núcleo y ningún módulo puede omitirla.</w:t>
      </w:r>
    </w:p>
    <w:p>
      <w:pPr>
        <w:keepNext/>
        <w:spacing w:before="240" w:after="80"/>
      </w:pPr>
      <w:r>
        <w:rPr>
          <w:rFonts w:ascii="Arial" w:hAnsi="Arial"/>
          <w:b/>
          <w:color w:val="4B6B94"/>
          <w:sz w:val="25"/>
        </w:rPr>
        <w:t>Regla 5: VERSIONADO DE CONTRATOS</w:t>
      </w:r>
    </w:p>
    <w:p>
      <w:pPr>
        <w:spacing w:before="40" w:after="100" w:line="276" w:lineRule="auto"/>
      </w:pPr>
      <w:r>
        <w:rPr>
          <w:rFonts w:ascii="Arial" w:hAnsi="Arial"/>
          <w:i w:val="0"/>
          <w:color w:val="282828"/>
          <w:sz w:val="21"/>
        </w:rPr>
        <w:t>Si tu módulo ya publicó una interfaz y luego necesitas cambiarle los parámetros a una función, NO puedes modificarla en silencio. Debes crear una nueva versión (v2) y acordarlo previamente en el Comité de Arquitectura para no romper el código de tus compañeros.</w:t>
      </w:r>
    </w:p>
    <w:p>
      <w:pPr>
        <w:keepNext/>
        <w:spacing w:before="320" w:after="120"/>
      </w:pPr>
      <w:r>
        <w:rPr>
          <w:rFonts w:ascii="Arial" w:hAnsi="Arial"/>
          <w:b/>
          <w:color w:val="1B365D"/>
          <w:sz w:val="30"/>
        </w:rPr>
        <w:t>4. ¿Cómo Crear y Usar Contratos en PHP y Laravel?</w:t>
      </w:r>
    </w:p>
    <w:p>
      <w:pPr>
        <w:spacing w:before="40" w:after="100" w:line="276" w:lineRule="auto"/>
      </w:pPr>
      <w:r>
        <w:rPr>
          <w:rFonts w:ascii="Arial" w:hAnsi="Arial"/>
          <w:b/>
          <w:color w:val="282828"/>
          <w:sz w:val="21"/>
        </w:rPr>
        <w:t xml:space="preserve">La Analogía de la Vida Real: </w:t>
      </w:r>
      <w:r>
        <w:rPr>
          <w:rFonts w:ascii="Arial" w:hAnsi="Arial"/>
          <w:i w:val="0"/>
          <w:color w:val="282828"/>
          <w:sz w:val="21"/>
        </w:rPr>
        <w:t xml:space="preserve">Para entender los contratos sin complicarse con términos abstractos, piensa en </w:t>
      </w:r>
    </w:p>
    <w:p>
      <w:pPr>
        <w:spacing w:before="40" w:after="100" w:line="276" w:lineRule="auto"/>
      </w:pPr>
      <w:r>
        <w:rPr>
          <w:rFonts w:ascii="Arial" w:hAnsi="Arial"/>
          <w:i w:val="0"/>
          <w:color w:val="282828"/>
          <w:sz w:val="21"/>
        </w:rPr>
        <w:t>Un contrato es como el enchufe de la pared. El enchufe define una forma estándar (dos patitas planas). A la refrigeradora no le importa si la electricidad viene de paneles solares, de una represa o de un generador diésel; mientras el enchufe cumpla con la forma estándar, todo funcionará. En Laravel, la Interfaz es el enchufe, y el Service es la planta eléctrica.</w:t>
      </w:r>
    </w:p>
    <w:p>
      <w:pPr>
        <w:keepNext/>
        <w:spacing w:before="240" w:after="80"/>
      </w:pPr>
      <w:r>
        <w:rPr>
          <w:rFonts w:ascii="Arial" w:hAnsi="Arial"/>
          <w:b/>
          <w:color w:val="4B6B94"/>
          <w:sz w:val="25"/>
        </w:rPr>
        <w:t>Paso 1: El Subgrupo Proveedor Crea la Interfaz (El Contrato)</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 Archivo: app/Contracts/M4_Inventario/InventarioServiceInterface.php</w:t>
              <w:br/>
              <w:t>namespace App\Contracts\M4_Inventario;</w:t>
              <w:br/>
              <w:br/>
              <w:t>interface InventarioServiceInterface</w:t>
              <w:br/>
              <w:t>{</w:t>
              <w:br/>
              <w:t xml:space="preserve">    /**</w:t>
              <w:br/>
              <w:t xml:space="preserve">     * Devuelve la cantidad disponible de una variación de producto.</w:t>
              <w:br/>
              <w:t xml:space="preserve">     */</w:t>
              <w:br/>
              <w:t xml:space="preserve">    public function consultarExistencias(int $variacionId): int;</w:t>
              <w:br/>
              <w:br/>
              <w:t xml:space="preserve">    /**</w:t>
              <w:br/>
              <w:t xml:space="preserve">     * Realiza una reserva atómica con vencimiento (Regla RN-04).</w:t>
              <w:br/>
              <w:t xml:space="preserve">     */</w:t>
              <w:br/>
              <w:t xml:space="preserve">    public function solicitarReserva(int $variacionId, int $cantidad, int $pedidoId): array;</w:t>
              <w:br/>
              <w:t>}</w:t>
            </w:r>
          </w:p>
        </w:tc>
      </w:tr>
    </w:tbl>
    <w:p>
      <w:pPr>
        <w:spacing w:after="80"/>
      </w:pPr>
    </w:p>
    <w:p>
      <w:pPr>
        <w:keepNext/>
        <w:spacing w:before="240" w:after="80"/>
      </w:pPr>
      <w:r>
        <w:rPr>
          <w:rFonts w:ascii="Arial" w:hAnsi="Arial"/>
          <w:b/>
          <w:color w:val="4B6B94"/>
          <w:sz w:val="25"/>
        </w:rPr>
        <w:t>Paso 2: El Subgrupo Proveedor Implementa la Lógica en su Service</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 Archivo: app/Services/M4_Inventario/InventarioService.php</w:t>
              <w:br/>
              <w:t>namespace App\Services\M4_Inventario;</w:t>
              <w:br/>
              <w:br/>
              <w:t>use App\Contracts\M4_Inventario\InventarioServiceInterface;</w:t>
              <w:br/>
              <w:t>use App\Models\M4_Inventario\Existencia;</w:t>
              <w:br/>
              <w:br/>
              <w:t>class InventarioService implements InventarioServiceInterface</w:t>
              <w:br/>
              <w:t>{</w:t>
              <w:br/>
              <w:t xml:space="preserve">    public function consultarExistencias(int $variacionId): int</w:t>
              <w:br/>
              <w:t xml:space="preserve">    {</w:t>
              <w:br/>
              <w:t xml:space="preserve">        $existencia = Existencia::where('variacion_id', $variacionId)-&gt;first();</w:t>
              <w:br/>
              <w:t xml:space="preserve">        return $existencia ? $existencia-&gt;cantidad_disponible : 0;</w:t>
              <w:br/>
              <w:t xml:space="preserve">    }</w:t>
              <w:br/>
              <w:br/>
              <w:t xml:space="preserve">    public function solicitarReserva(int $variacionId, int $cantidad, int $pedidoId): array</w:t>
              <w:br/>
              <w:t xml:space="preserve">    {</w:t>
              <w:br/>
              <w:t xml:space="preserve">        // Lógica de reserva atómica...</w:t>
              <w:br/>
              <w:t xml:space="preserve">        return ['reserva_id' =&gt; 5001, 'estado' =&gt; 'RESERVADO'];</w:t>
              <w:br/>
              <w:t xml:space="preserve">    }</w:t>
              <w:br/>
              <w:t>}</w:t>
            </w:r>
          </w:p>
        </w:tc>
      </w:tr>
    </w:tbl>
    <w:p>
      <w:pPr>
        <w:spacing w:after="80"/>
      </w:pPr>
    </w:p>
    <w:p>
      <w:pPr>
        <w:keepNext/>
        <w:spacing w:before="240" w:after="80"/>
      </w:pPr>
      <w:r>
        <w:rPr>
          <w:rFonts w:ascii="Arial" w:hAnsi="Arial"/>
          <w:b/>
          <w:color w:val="4B6B94"/>
          <w:sz w:val="25"/>
        </w:rPr>
        <w:t>Paso 3: Registrar el Enlace en AppServiceProvider.php</w:t>
      </w:r>
    </w:p>
    <w:p>
      <w:pPr>
        <w:spacing w:before="40" w:after="100" w:line="276" w:lineRule="auto"/>
      </w:pPr>
      <w:r>
        <w:rPr>
          <w:rFonts w:ascii="Arial" w:hAnsi="Arial"/>
          <w:i w:val="0"/>
          <w:color w:val="282828"/>
          <w:sz w:val="21"/>
        </w:rPr>
        <w:t>Esto le enseña a Laravel qué clase usar cuando alguien pida la interfaz:</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 Archivo: app/Providers/AppServiceProvider.php</w:t>
              <w:br/>
              <w:t>use App\Contracts\M4_Inventario\InventarioServiceInterface;</w:t>
              <w:br/>
              <w:t>use App\Services\M4_Inventario\InventarioService;</w:t>
              <w:br/>
              <w:br/>
              <w:t>public function register(): void</w:t>
              <w:br/>
              <w:t>{</w:t>
              <w:br/>
              <w:t xml:space="preserve">    $this-&gt;app-&gt;bind(InventarioServiceInterface::class, InventarioService::class);</w:t>
              <w:br/>
              <w:t>}</w:t>
            </w:r>
          </w:p>
        </w:tc>
      </w:tr>
    </w:tbl>
    <w:p>
      <w:pPr>
        <w:spacing w:after="80"/>
      </w:pPr>
    </w:p>
    <w:p>
      <w:pPr>
        <w:keepNext/>
        <w:spacing w:before="240" w:after="80"/>
      </w:pPr>
      <w:r>
        <w:rPr>
          <w:rFonts w:ascii="Arial" w:hAnsi="Arial"/>
          <w:b/>
          <w:color w:val="4B6B94"/>
          <w:sz w:val="25"/>
        </w:rPr>
        <w:t>Paso 4: El Subgrupo Consumidor Utiliza el Contrato (Inyección de Dependencias)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 Archivo: app/Services/M5_Pedidos/PedidosService.php</w:t>
              <w:br/>
              <w:t>namespace App\Services\M5_Pedidos;</w:t>
              <w:br/>
              <w:br/>
              <w:t>use App\Contracts\M4_Inventario\InventarioServiceInterface; // &lt;- Solo importamos el contrato</w:t>
              <w:br/>
              <w:br/>
              <w:t>class PedidosService</w:t>
              <w:br/>
              <w:t>{</w:t>
              <w:br/>
              <w:t xml:space="preserve">    protected InventarioServiceInterface $inventarioService;</w:t>
              <w:br/>
              <w:br/>
              <w:t xml:space="preserve">    // Laravel inyecta el servicio automáticamente en el constructor:</w:t>
              <w:br/>
              <w:t xml:space="preserve">    public function __construct(InventarioServiceInterface $inventarioService)</w:t>
              <w:br/>
              <w:t xml:space="preserve">    {</w:t>
              <w:br/>
              <w:t xml:space="preserve">        $this-&gt;inventarioService = $inventarioService;</w:t>
              <w:br/>
              <w:t xml:space="preserve">    }</w:t>
              <w:br/>
              <w:br/>
              <w:t xml:space="preserve">    public function confirmarCompra(int $variacionId, int $cantidad)</w:t>
              <w:br/>
              <w:t xml:space="preserve">    {</w:t>
              <w:br/>
              <w:t xml:space="preserve">        // Llamamos al método oficial sin saber nada de la BD de M4:</w:t>
              <w:br/>
              <w:t xml:space="preserve">        $stock = $this-&gt;inventarioService-&gt;consultarExistencias($variacionId);</w:t>
              <w:br/>
              <w:t xml:space="preserve">        </w:t>
              <w:br/>
              <w:t xml:space="preserve">        if ($stock &lt; $cantidad) {</w:t>
              <w:br/>
              <w:t xml:space="preserve">            throw new \Exception("Stock no disponible.");</w:t>
              <w:br/>
              <w:t xml:space="preserve">        }</w:t>
              <w:br/>
              <w:t xml:space="preserve">        </w:t>
              <w:br/>
              <w:t xml:space="preserve">        return $this-&gt;inventarioService-&gt;solicitarReserva($variacionId, $cantidad, 999);</w:t>
              <w:br/>
              <w:t xml:space="preserve">    }</w:t>
              <w:br/>
              <w:t>}</w:t>
            </w:r>
          </w:p>
        </w:tc>
      </w:tr>
    </w:tbl>
    <w:p>
      <w:pPr>
        <w:spacing w:after="80"/>
      </w:pPr>
    </w:p>
    <w:p>
      <w:pPr>
        <w:keepNext/>
        <w:spacing w:before="320" w:after="120"/>
      </w:pPr>
      <w:r>
        <w:rPr>
          <w:rFonts w:ascii="Arial" w:hAnsi="Arial"/>
          <w:b/>
          <w:color w:val="1B365D"/>
          <w:sz w:val="30"/>
        </w:rPr>
        <w:t>5. Base de Datos, Migraciones y Concurrencia</w:t>
      </w:r>
    </w:p>
    <w:p>
      <w:pPr>
        <w:keepNext/>
        <w:spacing w:before="240" w:after="80"/>
      </w:pPr>
      <w:r>
        <w:rPr>
          <w:rFonts w:ascii="Arial" w:hAnsi="Arial"/>
          <w:b/>
          <w:color w:val="4B6B94"/>
          <w:sz w:val="25"/>
        </w:rPr>
        <w:t>A. ¿Qué es una Migración?</w:t>
      </w:r>
    </w:p>
    <w:p>
      <w:pPr>
        <w:spacing w:before="40" w:after="100" w:line="276" w:lineRule="auto"/>
      </w:pPr>
      <w:r>
        <w:rPr>
          <w:rFonts w:ascii="Arial" w:hAnsi="Arial"/>
          <w:i w:val="0"/>
          <w:color w:val="282828"/>
          <w:sz w:val="21"/>
        </w:rPr>
        <w:t>Una migración en Laravel es como un sistema de control de versiones (Git) pero para la base de datos. En lugar de crear tablas a mano en phpMyAdmin o MySQL Workbench, escribimos código PHP que describe las tablas. Así, cuando tus compañeros clonan el proyecto, solo ejecutan php artisan migrate y su base de datos se crea idéntica a la tuya.</w:t>
      </w:r>
    </w:p>
    <w:p>
      <w:pPr>
        <w:spacing w:before="40" w:after="100" w:line="276" w:lineRule="auto"/>
      </w:pPr>
      <w:r>
        <w:rPr>
          <w:rFonts w:ascii="Arial" w:hAnsi="Arial"/>
          <w:i w:val="0"/>
          <w:color w:val="282828"/>
          <w:sz w:val="21"/>
        </w:rPr>
        <w:t>Comando para crear un modelo y su migración dentro de tu módulo:</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php artisan make:model "M4_Inventario/Existencia" -m</w:t>
            </w:r>
          </w:p>
        </w:tc>
      </w:tr>
    </w:tbl>
    <w:p>
      <w:pPr>
        <w:spacing w:after="80"/>
      </w:pPr>
    </w:p>
    <w:p>
      <w:pPr>
        <w:keepNext/>
        <w:spacing w:before="240" w:after="80"/>
      </w:pPr>
      <w:r>
        <w:rPr>
          <w:rFonts w:ascii="Arial" w:hAnsi="Arial"/>
          <w:b/>
          <w:color w:val="4B6B94"/>
          <w:sz w:val="25"/>
        </w:rPr>
        <w:t>B. Ejemplo de Migración y Modelo</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 database/migrations/2026_09_01_000000_create_inventario_existencias_table.php</w:t>
              <w:br/>
              <w:t>public function up(): void</w:t>
              <w:br/>
              <w:t>{</w:t>
              <w:br/>
              <w:t xml:space="preserve">    Schema::create('inventario_existencias', function (Blueprint $table) {</w:t>
              <w:br/>
              <w:t xml:space="preserve">        $table-&gt;id();</w:t>
              <w:br/>
              <w:t xml:space="preserve">        $table-&gt;unsignedBigInteger('comercio_id');  // Para aislamiento de tienda (RN-12)</w:t>
              <w:br/>
              <w:t xml:space="preserve">        $table-&gt;unsignedBigInteger('variacion_id'); // Referencia a M3</w:t>
              <w:br/>
              <w:t xml:space="preserve">        $table-&gt;integer('cantidad_disponible')-&gt;default(0);</w:t>
              <w:br/>
              <w:t xml:space="preserve">        $table-&gt;integer('cantidad_reservada')-&gt;default(0);</w:t>
              <w:br/>
              <w:t xml:space="preserve">        $table-&gt;timestamps();</w:t>
              <w:br/>
              <w:br/>
              <w:t xml:space="preserve">        // Evita duplicados para el mismo comercio y variación</w:t>
              <w:br/>
              <w:t xml:space="preserve">        $table-&gt;unique(['comercio_id', 'variacion_id']);</w:t>
              <w:br/>
              <w:t xml:space="preserve">    });</w:t>
              <w:br/>
              <w:t>}</w:t>
            </w:r>
          </w:p>
        </w:tc>
      </w:tr>
    </w:tbl>
    <w:p>
      <w:pPr>
        <w:spacing w:after="80"/>
      </w:pPr>
    </w:p>
    <w:p>
      <w:pPr>
        <w:keepNext/>
        <w:spacing w:before="240" w:after="80"/>
      </w:pPr>
      <w:r>
        <w:rPr>
          <w:rFonts w:ascii="Arial" w:hAnsi="Arial"/>
          <w:b/>
          <w:color w:val="4B6B94"/>
          <w:sz w:val="25"/>
        </w:rPr>
        <w:t>C. El Gran Reto Técnico: Concurrencia en Inventario (Regla RN-04)</w:t>
      </w:r>
    </w:p>
    <w:p>
      <w:pPr>
        <w:spacing w:before="40" w:after="100" w:line="276" w:lineRule="auto"/>
      </w:pPr>
      <w:r>
        <w:rPr>
          <w:rFonts w:ascii="Arial" w:hAnsi="Arial"/>
          <w:b/>
          <w:color w:val="282828"/>
          <w:sz w:val="21"/>
        </w:rPr>
        <w:t xml:space="preserve">El problema de la doble venta: </w:t>
      </w:r>
      <w:r>
        <w:rPr>
          <w:rFonts w:ascii="Arial" w:hAnsi="Arial"/>
          <w:i w:val="0"/>
          <w:color w:val="282828"/>
          <w:sz w:val="21"/>
        </w:rPr>
        <w:t>¿Qué pasa si solo queda 1 unidad disponible de unos zapatos y dos clientes presionan 'Comprar' en el mismísimo milisegundo? Si solo haces una consulta común, ambos verán stock &gt; 0, ambos pagarán y la tienda tendrá un cliente insatisfecho.</w:t>
      </w:r>
    </w:p>
    <w:p>
      <w:pPr>
        <w:spacing w:before="40" w:after="100" w:line="276" w:lineRule="auto"/>
      </w:pPr>
      <w:r>
        <w:rPr>
          <w:rFonts w:ascii="Arial" w:hAnsi="Arial"/>
          <w:b/>
          <w:color w:val="282828"/>
          <w:sz w:val="21"/>
        </w:rPr>
        <w:t xml:space="preserve">La Solución Técnica: </w:t>
      </w:r>
      <w:r>
        <w:rPr>
          <w:rFonts w:ascii="Arial" w:hAnsi="Arial"/>
          <w:i w:val="0"/>
          <w:color w:val="282828"/>
          <w:sz w:val="21"/>
        </w:rPr>
        <w:t>Para resolver esto, el módulo M4 utiliza Bloqueo Pesimista (lockForUpdate) dentro de una transacción: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use Illuminate\Support\Facades\DB;</w:t>
              <w:br/>
              <w:br/>
              <w:t>public function solicitarReserva(int $variacionId, int $cantidad, int $pedidoId): array</w:t>
              <w:br/>
              <w:t>{</w:t>
              <w:br/>
              <w:t xml:space="preserve">    return DB::transaction(function () use ($variacionId, $cantidad, $pedidoId) {</w:t>
              <w:br/>
              <w:t xml:space="preserve">        // lockForUpdate bloquea la fila en la BD hasta que la transacción termine</w:t>
              <w:br/>
              <w:t xml:space="preserve">        $existencia = Existencia::where('variacion_id', $variacionId)</w:t>
              <w:br/>
              <w:t xml:space="preserve">            -&gt;lockForUpdate()</w:t>
              <w:br/>
              <w:t xml:space="preserve">            -&gt;firstOrFail();</w:t>
              <w:br/>
              <w:br/>
              <w:t xml:space="preserve">        if ($existencia-&gt;cantidad_disponible &lt; $cantidad) {</w:t>
              <w:br/>
              <w:t xml:space="preserve">            throw new \RuntimeException("No hay existencias suficientes.");</w:t>
              <w:br/>
              <w:t xml:space="preserve">        }</w:t>
              <w:br/>
              <w:br/>
              <w:t xml:space="preserve">        // Descontar disponible y sumar a reservada de forma atómica</w:t>
              <w:br/>
              <w:t xml:space="preserve">        $existencia-&gt;cantidad_disponible -= $cantidad;</w:t>
              <w:br/>
              <w:t xml:space="preserve">        $existencia-&gt;cantidad_reservada += $cantidad;</w:t>
              <w:br/>
              <w:t xml:space="preserve">        $existencia-&gt;save();</w:t>
              <w:br/>
              <w:br/>
              <w:t xml:space="preserve">        return [</w:t>
              <w:br/>
              <w:t xml:space="preserve">            'reserva_id' =&gt; rand(1000, 9999),</w:t>
              <w:br/>
              <w:t xml:space="preserve">            'estado' =&gt; 'RESERVADO',</w:t>
              <w:br/>
              <w:t xml:space="preserve">            'expira_en' =&gt; now()-&gt;addMinutes(15)-&gt;toIso8601String()</w:t>
              <w:br/>
              <w:t xml:space="preserve">        ];</w:t>
              <w:br/>
              <w:t xml:space="preserve">    });</w:t>
              <w:br/>
              <w:t>}</w:t>
            </w:r>
          </w:p>
        </w:tc>
      </w:tr>
    </w:tbl>
    <w:p>
      <w:pPr>
        <w:spacing w:after="80"/>
      </w:pPr>
    </w:p>
    <w:p>
      <w:pPr>
        <w:keepNext/>
        <w:spacing w:before="320" w:after="120"/>
      </w:pPr>
      <w:r>
        <w:rPr>
          <w:rFonts w:ascii="Arial" w:hAnsi="Arial"/>
          <w:b/>
          <w:color w:val="1B365D"/>
          <w:sz w:val="30"/>
        </w:rPr>
        <w:t>6. Guía Rápida: Pasos para Clonar y Ejecutar el Repositorio sin Errores</w:t>
      </w:r>
    </w:p>
    <w:p>
      <w:pPr>
        <w:spacing w:before="40" w:after="100" w:line="276" w:lineRule="auto"/>
      </w:pPr>
      <w:r>
        <w:rPr>
          <w:rFonts w:ascii="Arial" w:hAnsi="Arial"/>
          <w:i w:val="0"/>
          <w:color w:val="282828"/>
          <w:sz w:val="21"/>
        </w:rPr>
        <w:t>Cada integrante del subgrupo debe seguir estos pasos exactos al clonar el repositorio en su computadora:</w:t>
      </w:r>
    </w:p>
    <w:p>
      <w:pPr>
        <w:keepNext/>
        <w:spacing w:before="240" w:after="80"/>
      </w:pPr>
      <w:r>
        <w:rPr>
          <w:rFonts w:ascii="Arial" w:hAnsi="Arial"/>
          <w:b/>
          <w:color w:val="4B6B94"/>
          <w:sz w:val="25"/>
        </w:rPr>
        <w:t>Paso 1: Clonar el proyecto</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git clone https://github.com/tu-organizacion/pacifico-online.git</w:t>
              <w:br/>
              <w:t>cd pacifico-online</w:t>
            </w:r>
          </w:p>
        </w:tc>
      </w:tr>
    </w:tbl>
    <w:p>
      <w:pPr>
        <w:spacing w:after="80"/>
      </w:pPr>
    </w:p>
    <w:p>
      <w:pPr>
        <w:keepNext/>
        <w:spacing w:before="240" w:after="80"/>
      </w:pPr>
      <w:r>
        <w:rPr>
          <w:rFonts w:ascii="Arial" w:hAnsi="Arial"/>
          <w:b/>
          <w:color w:val="4B6B94"/>
          <w:sz w:val="25"/>
        </w:rPr>
        <w:t>Paso 2: Instalar dependencias de PHP y JavaScript</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composer install</w:t>
              <w:br/>
              <w:t>npm install</w:t>
            </w:r>
          </w:p>
        </w:tc>
      </w:tr>
    </w:tbl>
    <w:p>
      <w:pPr>
        <w:spacing w:after="80"/>
      </w:pPr>
    </w:p>
    <w:p>
      <w:pPr>
        <w:keepNext/>
        <w:spacing w:before="240" w:after="80"/>
      </w:pPr>
      <w:r>
        <w:rPr>
          <w:rFonts w:ascii="Arial" w:hAnsi="Arial"/>
          <w:b/>
          <w:color w:val="4B6B94"/>
          <w:sz w:val="25"/>
        </w:rPr>
        <w:t>Paso 3: Crear el archivo de configuración .env</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 En Windows PowerShell o CMD:</w:t>
              <w:br/>
              <w:t>copy .env.example .env</w:t>
              <w:br/>
              <w:br/>
              <w:t># En Linux o Mac:</w:t>
              <w:br/>
              <w:t>cp .env.example .env</w:t>
            </w:r>
          </w:p>
        </w:tc>
      </w:tr>
    </w:tbl>
    <w:p>
      <w:pPr>
        <w:spacing w:after="80"/>
      </w:pPr>
    </w:p>
    <w:p>
      <w:pPr>
        <w:keepNext/>
        <w:spacing w:before="240" w:after="80"/>
      </w:pPr>
      <w:r>
        <w:rPr>
          <w:rFonts w:ascii="Arial" w:hAnsi="Arial"/>
          <w:b/>
          <w:color w:val="4B6B94"/>
          <w:sz w:val="25"/>
        </w:rPr>
        <w:t>Paso 4: Generar la Clave de Aplicación (OBLIGATORIO)</w:t>
      </w:r>
    </w:p>
    <w:p>
      <w:pPr>
        <w:spacing w:before="40" w:after="100" w:line="276" w:lineRule="auto"/>
      </w:pPr>
      <w:r>
        <w:rPr>
          <w:rFonts w:ascii="Arial" w:hAnsi="Arial"/>
          <w:i w:val="0"/>
          <w:color w:val="282828"/>
          <w:sz w:val="21"/>
        </w:rPr>
        <w:t>Si no ejecutas este comando, Laravel dará el error 'MissingAppKeyException':</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php artisan key:generate</w:t>
            </w:r>
          </w:p>
        </w:tc>
      </w:tr>
    </w:tbl>
    <w:p>
      <w:pPr>
        <w:spacing w:after="80"/>
      </w:pPr>
    </w:p>
    <w:p>
      <w:pPr>
        <w:keepNext/>
        <w:spacing w:before="240" w:after="80"/>
      </w:pPr>
      <w:r>
        <w:rPr>
          <w:rFonts w:ascii="Arial" w:hAnsi="Arial"/>
          <w:b/>
          <w:color w:val="4B6B94"/>
          <w:sz w:val="25"/>
        </w:rPr>
        <w:t>Paso 5: Ejecutar las migraciones de Base de Datos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php artisan migrate</w:t>
            </w:r>
          </w:p>
        </w:tc>
      </w:tr>
    </w:tbl>
    <w:p>
      <w:pPr>
        <w:spacing w:after="80"/>
      </w:pPr>
    </w:p>
    <w:p>
      <w:pPr>
        <w:keepNext/>
        <w:spacing w:before="240" w:after="80"/>
      </w:pPr>
      <w:r>
        <w:rPr>
          <w:rFonts w:ascii="Arial" w:hAnsi="Arial"/>
          <w:b/>
          <w:color w:val="4B6B94"/>
          <w:sz w:val="25"/>
        </w:rPr>
        <w:t>Paso 6: Iniciar el servidor local</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php artisan serve</w:t>
            </w:r>
          </w:p>
        </w:tc>
      </w:tr>
    </w:tbl>
    <w:p>
      <w:pPr>
        <w:spacing w:after="80"/>
      </w:pPr>
    </w:p>
    <w:p>
      <w:pPr>
        <w:spacing w:before="40" w:after="100" w:line="276" w:lineRule="auto"/>
      </w:pPr>
      <w:r>
        <w:rPr>
          <w:rFonts w:ascii="Arial" w:hAnsi="Arial"/>
          <w:i w:val="0"/>
          <w:color w:val="282828"/>
          <w:sz w:val="21"/>
        </w:rPr>
        <w:t>Abre tu navegador web en: http://localhost:8000</w:t>
      </w:r>
    </w:p>
    <w:p>
      <w:pPr>
        <w:keepNext/>
        <w:spacing w:before="320" w:after="120"/>
      </w:pPr>
      <w:r>
        <w:rPr>
          <w:rFonts w:ascii="Arial" w:hAnsi="Arial"/>
          <w:b/>
          <w:color w:val="1B365D"/>
          <w:sz w:val="30"/>
        </w:rPr>
        <w:t>7. Solución a los 3 Errores Más Comunes</w:t>
      </w:r>
    </w:p>
    <w:p>
      <w:pPr>
        <w:keepNext/>
        <w:spacing w:before="240" w:after="80"/>
      </w:pPr>
      <w:r>
        <w:rPr>
          <w:rFonts w:ascii="Arial" w:hAnsi="Arial"/>
          <w:b/>
          <w:color w:val="4B6B94"/>
          <w:sz w:val="25"/>
        </w:rPr>
        <w:t>1. Error: 'php no se reconoce como comando ejecutable'</w:t>
      </w:r>
    </w:p>
    <w:p>
      <w:pPr>
        <w:spacing w:before="40" w:after="100" w:line="276" w:lineRule="auto"/>
      </w:pPr>
      <w:r>
        <w:rPr>
          <w:rFonts w:ascii="Arial" w:hAnsi="Arial"/>
          <w:i w:val="0"/>
          <w:color w:val="282828"/>
          <w:sz w:val="21"/>
        </w:rPr>
        <w:t>Causa: Windows no tiene agregada la ruta de PHP a las variables de entorno. Solución si usas Laragon: Abre la terminal directamente con el botón 'Terminal' de Laragon, o ejecuta en PowerShell: $env:Path = 'C:\laragon\bin\php\php-8.3.33-Win32-vs16-x64;C:\laragon\bin\composer;' + $env:Path</w:t>
      </w:r>
    </w:p>
    <w:p>
      <w:pPr>
        <w:keepNext/>
        <w:spacing w:before="240" w:after="80"/>
      </w:pPr>
      <w:r>
        <w:rPr>
          <w:rFonts w:ascii="Arial" w:hAnsi="Arial"/>
          <w:b/>
          <w:color w:val="4B6B94"/>
          <w:sz w:val="25"/>
        </w:rPr>
        <w:t>2. Error: 'MissingAppKeyException - No application encryption key has been specified'</w:t>
      </w:r>
    </w:p>
    <w:p>
      <w:pPr>
        <w:spacing w:before="40" w:after="100" w:line="276" w:lineRule="auto"/>
      </w:pPr>
      <w:r>
        <w:rPr>
          <w:rFonts w:ascii="Arial" w:hAnsi="Arial"/>
          <w:i w:val="0"/>
          <w:color w:val="282828"/>
          <w:sz w:val="21"/>
        </w:rPr>
        <w:t>Causa: No se ha generado la clave secreta en el archivo .env. Solución: Ejecutar php artisan key:generate.</w:t>
      </w:r>
    </w:p>
    <w:p>
      <w:pPr>
        <w:keepNext/>
        <w:spacing w:before="240" w:after="80"/>
      </w:pPr>
      <w:r>
        <w:rPr>
          <w:rFonts w:ascii="Arial" w:hAnsi="Arial"/>
          <w:b/>
          <w:color w:val="4B6B94"/>
          <w:sz w:val="25"/>
        </w:rPr>
        <w:t>3. Error: 'Class ... not found' después de crear una interfaz o servicio</w:t>
      </w:r>
    </w:p>
    <w:p>
      <w:pPr>
        <w:spacing w:before="40" w:after="100" w:line="276" w:lineRule="auto"/>
      </w:pPr>
      <w:r>
        <w:rPr>
          <w:rFonts w:ascii="Arial" w:hAnsi="Arial"/>
          <w:i w:val="0"/>
          <w:color w:val="282828"/>
          <w:sz w:val="21"/>
        </w:rPr>
        <w:t>Causa: Laravel no ha actualizado el mapa de clases de Composer. Solución: Ejecutar composer dump-autoload.</w:t>
      </w:r>
    </w:p>
    <w:p>
      <w:pPr>
        <w:keepNext/>
        <w:spacing w:before="320" w:after="120"/>
      </w:pPr>
      <w:r>
        <w:rPr>
          <w:rFonts w:ascii="Arial" w:hAnsi="Arial"/>
          <w:b/>
          <w:color w:val="1B365D"/>
          <w:sz w:val="30"/>
        </w:rPr>
        <w:t>8. Consejos para Coordinadores y Miembros del Equipo</w:t>
      </w:r>
    </w:p>
    <w:p>
      <w:pPr>
        <w:keepNext/>
        <w:spacing w:before="240" w:after="80"/>
      </w:pPr>
      <w:r>
        <w:rPr>
          <w:rFonts w:ascii="Arial" w:hAnsi="Arial"/>
          <w:b/>
          <w:color w:val="4B6B94"/>
          <w:sz w:val="25"/>
        </w:rPr>
        <w:t>Para los Representantes ante el Comité de Arquitectura:</w:t>
      </w:r>
    </w:p>
    <w:p>
      <w:pPr>
        <w:pStyle w:val="ListBullet"/>
        <w:spacing w:before="20" w:after="60" w:line="276" w:lineRule="auto"/>
        <w:ind w:left="360"/>
      </w:pPr>
      <w:r>
        <w:rPr>
          <w:rFonts w:ascii="Arial" w:hAnsi="Arial"/>
          <w:b/>
          <w:color w:val="282828"/>
          <w:sz w:val="20"/>
        </w:rPr>
        <w:t xml:space="preserve">Puntualidad en Contratos: </w:t>
      </w:r>
      <w:r>
        <w:rPr>
          <w:rFonts w:ascii="Arial" w:hAnsi="Arial"/>
          <w:color w:val="282828"/>
          <w:sz w:val="20"/>
        </w:rPr>
        <w:t>Cada miércoles se realiza sesión de comité. Lleven anotados los contratos que su módulo ofrece y los que necesita de los demás.</w:t>
      </w:r>
    </w:p>
    <w:p>
      <w:pPr>
        <w:pStyle w:val="ListBullet"/>
        <w:spacing w:before="20" w:after="60" w:line="276" w:lineRule="auto"/>
        <w:ind w:left="360"/>
      </w:pPr>
      <w:r>
        <w:rPr>
          <w:rFonts w:ascii="Arial" w:hAnsi="Arial"/>
          <w:b/>
          <w:color w:val="282828"/>
          <w:sz w:val="20"/>
        </w:rPr>
        <w:t xml:space="preserve">Actas obligatorias: </w:t>
      </w:r>
      <w:r>
        <w:rPr>
          <w:rFonts w:ascii="Arial" w:hAnsi="Arial"/>
          <w:color w:val="282828"/>
          <w:sz w:val="20"/>
        </w:rPr>
        <w:t>Llenar siempre el acta de sesión (docs/actas-comite/acta-00-constitucion.md). El profesor califica que los acuerdos y bloqueos estén en acta para no penalizar retrasos ajenos.</w:t>
      </w:r>
    </w:p>
    <w:p>
      <w:pPr>
        <w:pStyle w:val="ListBullet"/>
        <w:spacing w:before="20" w:after="60" w:line="276" w:lineRule="auto"/>
        <w:ind w:left="360"/>
      </w:pPr>
      <w:r>
        <w:rPr>
          <w:rFonts w:ascii="Arial" w:hAnsi="Arial"/>
          <w:b/>
          <w:color w:val="282828"/>
          <w:sz w:val="20"/>
        </w:rPr>
        <w:t xml:space="preserve">Registrar ADRs: </w:t>
      </w:r>
      <w:r>
        <w:rPr>
          <w:rFonts w:ascii="Arial" w:hAnsi="Arial"/>
          <w:color w:val="282828"/>
          <w:sz w:val="20"/>
        </w:rPr>
        <w:t>Si hay un cambio importante en la arquitectura (ej. tipo de bloqueo, formato de respuesta de errores), documéntenlo como un ADR en docs/adr/.</w:t>
      </w:r>
    </w:p>
    <w:p>
      <w:pPr>
        <w:keepNext/>
        <w:spacing w:before="240" w:after="80"/>
      </w:pPr>
      <w:r>
        <w:rPr>
          <w:rFonts w:ascii="Arial" w:hAnsi="Arial"/>
          <w:b/>
          <w:color w:val="4B6B94"/>
          <w:sz w:val="25"/>
        </w:rPr>
        <w:t>Para Desarrolladores y Testers (Cómo no quedar bloqueados):</w:t>
      </w:r>
    </w:p>
    <w:p>
      <w:pPr>
        <w:pStyle w:val="ListBullet"/>
        <w:spacing w:before="20" w:after="60" w:line="276" w:lineRule="auto"/>
        <w:ind w:left="360"/>
      </w:pPr>
      <w:r>
        <w:rPr>
          <w:rFonts w:ascii="Arial" w:hAnsi="Arial"/>
          <w:b/>
          <w:color w:val="282828"/>
          <w:sz w:val="20"/>
        </w:rPr>
        <w:t xml:space="preserve">Uso de Mocks con Mockery: </w:t>
      </w:r>
      <w:r>
        <w:rPr>
          <w:rFonts w:ascii="Arial" w:hAnsi="Arial"/>
          <w:color w:val="282828"/>
          <w:sz w:val="20"/>
        </w:rPr>
        <w:t>Si tu subgrupo necesita una función de otro subgrupo que aún no está lista, NO te detengas. Usa un Doble de Prueba (Mock) en tus pruebas unitarias:</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Borders>
              <w:left w:val="single" w:sz="12" w:space="0" w:color="D0D5DD"/>
              <w:top w:val="single" w:sz="12" w:space="0" w:color="D0D5DD"/>
              <w:right w:val="single" w:sz="12" w:space="0" w:color="D0D5DD"/>
              <w:bottom w:val="single" w:sz="12" w:space="0" w:color="D0D5DD"/>
            </w:tcBorders>
          </w:tcPr>
          <w:p>
            <w:pPr>
              <w:spacing w:before="0" w:after="0" w:line="264" w:lineRule="auto"/>
            </w:pPr>
            <w:r>
              <w:rPr>
                <w:rFonts w:ascii="Consolas" w:hAnsi="Consolas"/>
                <w:color w:val="1E1E1E"/>
                <w:sz w:val="18"/>
              </w:rPr>
              <w:t>// Ejemplo en tests/Unit/M5_Pedidos/PedidosServiceTest.php</w:t>
              <w:br/>
              <w:t>public function test_compra_con_mock()</w:t>
              <w:br/>
              <w:t>{</w:t>
              <w:br/>
              <w:t xml:space="preserve">    $mockInventario = Mockery::mock(InventarioServiceInterface::class);</w:t>
              <w:br/>
              <w:t xml:space="preserve">    $mockInventario-&gt;shouldReceive('consultarExistencias')-&gt;andReturn(10);</w:t>
              <w:br/>
              <w:t xml:space="preserve">    $mockInventario-&gt;shouldReceive('solicitarReserva')-&gt;andReturn(['reserva_id' =&gt; 123]);</w:t>
              <w:br/>
              <w:br/>
              <w:t xml:space="preserve">    $servicio = new PedidosService($mockInventario);</w:t>
              <w:br/>
              <w:t xml:space="preserve">    $resultado = $servicio-&gt;confirmarCompra(101, 2);</w:t>
              <w:br/>
              <w:br/>
              <w:t xml:space="preserve">    $this-&gt;assertEquals(123, $resultado['reserva_id']);</w:t>
              <w:br/>
              <w:t>}</w:t>
            </w:r>
          </w:p>
        </w:tc>
      </w:tr>
    </w:tbl>
    <w:p>
      <w:pPr>
        <w:spacing w:after="80"/>
      </w:pPr>
    </w:p>
    <w:p>
      <w:pPr>
        <w:keepNext/>
        <w:spacing w:before="240" w:after="80"/>
      </w:pPr>
      <w:r>
        <w:rPr>
          <w:rFonts w:ascii="Arial" w:hAnsi="Arial"/>
          <w:b/>
          <w:color w:val="4B6B94"/>
          <w:sz w:val="25"/>
        </w:rPr>
        <w:t>Control de Versiones en Git:</w:t>
      </w:r>
    </w:p>
    <w:p>
      <w:pPr>
        <w:pStyle w:val="ListBullet"/>
        <w:spacing w:before="20" w:after="60" w:line="276" w:lineRule="auto"/>
        <w:ind w:left="360"/>
      </w:pPr>
      <w:r>
        <w:rPr>
          <w:rFonts w:ascii="Arial" w:hAnsi="Arial"/>
          <w:b/>
          <w:color w:val="282828"/>
          <w:sz w:val="20"/>
        </w:rPr>
        <w:t xml:space="preserve">Ramas por característica: </w:t>
      </w:r>
      <w:r>
        <w:rPr>
          <w:rFonts w:ascii="Arial" w:hAnsi="Arial"/>
          <w:color w:val="282828"/>
          <w:sz w:val="20"/>
        </w:rPr>
        <w:t>Nunca trabajen directamente sobre la rama main. Cada subgrupo debe crear ramas temáticas (ejemplo: feature/sg4-kardex, feature/sg5-carrito).</w:t>
      </w:r>
    </w:p>
    <w:p>
      <w:pPr>
        <w:pStyle w:val="ListBullet"/>
        <w:spacing w:before="20" w:after="60" w:line="276" w:lineRule="auto"/>
        <w:ind w:left="360"/>
      </w:pPr>
      <w:r>
        <w:rPr>
          <w:rFonts w:ascii="Arial" w:hAnsi="Arial"/>
          <w:b/>
          <w:color w:val="282828"/>
          <w:sz w:val="20"/>
        </w:rPr>
        <w:t xml:space="preserve">Participación equitativa: </w:t>
      </w:r>
      <w:r>
        <w:rPr>
          <w:rFonts w:ascii="Arial" w:hAnsi="Arial"/>
          <w:color w:val="282828"/>
          <w:sz w:val="20"/>
        </w:rPr>
        <w:t>Todos los 5 integrantes de cada subgrupo deben tener commits registrados en el historial de Git para obtener el 100% de la nota individual (Sección 12.5).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