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>
          <w:rFonts w:ascii="Open Sans" w:hAnsi="Open Sans" w:eastAsia="Open Sans" w:cs="Open Sans"/>
          <w:b/>
          <w:b/>
          <w:i/>
          <w:i/>
          <w:sz w:val="28"/>
          <w:szCs w:val="28"/>
        </w:rPr>
      </w:pPr>
      <w:r>
        <w:rPr>
          <w:rFonts w:eastAsia="Open Sans" w:cs="Open Sans" w:ascii="Open Sans" w:hAnsi="Open Sans"/>
          <w:b/>
          <w:i/>
          <w:sz w:val="28"/>
          <w:szCs w:val="28"/>
        </w:rPr>
        <w:t xml:space="preserve">Attention students: </w:t>
      </w:r>
    </w:p>
    <w:p>
      <w:pPr>
        <w:pStyle w:val="LOnormal"/>
        <w:rPr>
          <w:rFonts w:ascii="Open Sans" w:hAnsi="Open Sans" w:eastAsia="Open Sans" w:cs="Open Sans"/>
          <w:b/>
          <w:b/>
          <w:i/>
          <w:i/>
          <w:sz w:val="28"/>
          <w:szCs w:val="28"/>
        </w:rPr>
      </w:pPr>
      <w:r>
        <w:rPr>
          <w:rFonts w:eastAsia="Open Sans" w:cs="Open Sans" w:ascii="Open Sans" w:hAnsi="Open Sans"/>
          <w:b/>
          <w:i/>
          <w:sz w:val="28"/>
          <w:szCs w:val="28"/>
        </w:rPr>
        <w:t xml:space="preserve">In order to demonstrate successful completion of all components in the project, please use screenshot(s) to show each </w:t>
      </w:r>
      <w:r>
        <w:rPr>
          <w:rFonts w:eastAsia="Open Sans" w:cs="Open Sans" w:ascii="Open Sans" w:hAnsi="Open Sans"/>
          <w:b/>
          <w:i/>
          <w:sz w:val="28"/>
          <w:szCs w:val="28"/>
          <w:u w:val="single"/>
        </w:rPr>
        <w:t>completed</w:t>
      </w:r>
      <w:r>
        <w:rPr>
          <w:rFonts w:eastAsia="Open Sans" w:cs="Open Sans" w:ascii="Open Sans" w:hAnsi="Open Sans"/>
          <w:b/>
          <w:i/>
          <w:sz w:val="28"/>
          <w:szCs w:val="28"/>
        </w:rPr>
        <w:t xml:space="preserve"> action step as specified on the instructions page. </w:t>
      </w:r>
    </w:p>
    <w:p>
      <w:pPr>
        <w:pStyle w:val="LOnormal"/>
        <w:rPr>
          <w:rFonts w:ascii="Open Sans" w:hAnsi="Open Sans" w:eastAsia="Open Sans" w:cs="Open Sans"/>
          <w:b/>
          <w:b/>
          <w:sz w:val="28"/>
          <w:szCs w:val="28"/>
        </w:rPr>
      </w:pPr>
      <w:r>
        <w:rPr>
          <w:rFonts w:eastAsia="Open Sans" w:cs="Open Sans" w:ascii="Open Sans" w:hAnsi="Open Sans"/>
          <w:b/>
          <w:sz w:val="28"/>
          <w:szCs w:val="28"/>
        </w:rPr>
      </w:r>
    </w:p>
    <w:p>
      <w:pPr>
        <w:pStyle w:val="LOnormal"/>
        <w:rPr>
          <w:rFonts w:ascii="Open Sans" w:hAnsi="Open Sans" w:eastAsia="Open Sans" w:cs="Open Sans"/>
          <w:b/>
          <w:b/>
          <w:sz w:val="28"/>
          <w:szCs w:val="28"/>
        </w:rPr>
      </w:pPr>
      <w:r>
        <w:rPr>
          <w:rFonts w:eastAsia="Open Sans" w:cs="Open Sans" w:ascii="Open Sans" w:hAnsi="Open Sans"/>
          <w:b/>
          <w:sz w:val="28"/>
          <w:szCs w:val="28"/>
        </w:rPr>
      </w:r>
      <w:r>
        <w:br w:type="page"/>
      </w:r>
    </w:p>
    <w:p>
      <w:pPr>
        <w:pStyle w:val="LOnormal"/>
        <w:rPr>
          <w:rFonts w:ascii="Open Sans" w:hAnsi="Open Sans" w:eastAsia="Open Sans" w:cs="Open Sans"/>
          <w:b/>
          <w:b/>
          <w:sz w:val="28"/>
          <w:szCs w:val="28"/>
        </w:rPr>
      </w:pPr>
      <w:r>
        <w:rPr>
          <w:rFonts w:eastAsia="Open Sans" w:cs="Open Sans" w:ascii="Open Sans" w:hAnsi="Open Sans"/>
          <w:b/>
          <w:sz w:val="28"/>
          <w:szCs w:val="28"/>
        </w:rPr>
        <w:t>Identity and Access Management</w:t>
      </w:r>
    </w:p>
    <w:p>
      <w:pPr>
        <w:pStyle w:val="LOnormal"/>
        <w:numPr>
          <w:ilvl w:val="0"/>
          <w:numId w:val="5"/>
        </w:numPr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Assigned roles and AD assignments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Andrew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Chris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Karl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Lora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Neelima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Neha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Seth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Srinadh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Tom</w:t>
      </w:r>
    </w:p>
    <w:p>
      <w:pPr>
        <w:pStyle w:val="LOnormal"/>
        <w:numPr>
          <w:ilvl w:val="1"/>
          <w:numId w:val="5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Winifred</w:t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702945</wp:posOffset>
            </wp:positionH>
            <wp:positionV relativeFrom="paragraph">
              <wp:posOffset>-12700</wp:posOffset>
            </wp:positionV>
            <wp:extent cx="5257800" cy="214566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150304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371475</wp:posOffset>
            </wp:positionH>
            <wp:positionV relativeFrom="paragraph">
              <wp:posOffset>-208280</wp:posOffset>
            </wp:positionV>
            <wp:extent cx="5943600" cy="329057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12426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15328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12452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14916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13792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32664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31788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t>V2:</w:t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t>Owner Access to Dev and Prod SQL Servers:</w:t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980690"/>
            <wp:effectExtent l="0" t="0" r="0" b="0"/>
            <wp:wrapSquare wrapText="largest"/>
            <wp:docPr id="11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926080"/>
            <wp:effectExtent l="0" t="0" r="0" b="0"/>
            <wp:wrapSquare wrapText="largest"/>
            <wp:docPr id="12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66890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64541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1221105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438150</wp:posOffset>
            </wp:positionH>
            <wp:positionV relativeFrom="paragraph">
              <wp:posOffset>1539875</wp:posOffset>
            </wp:positionV>
            <wp:extent cx="5257800" cy="110807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5"/>
        </w:numPr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Global Administrator setting with duration, eligibility, expiration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61310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numPr>
          <w:ilvl w:val="0"/>
          <w:numId w:val="5"/>
        </w:numPr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Conditional Access policy all users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1239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  <w:u w:val="none"/>
        </w:rPr>
      </w:r>
    </w:p>
    <w:p>
      <w:pPr>
        <w:pStyle w:val="LOnormal"/>
        <w:numPr>
          <w:ilvl w:val="0"/>
          <w:numId w:val="5"/>
        </w:numPr>
        <w:ind w:left="720" w:hanging="360"/>
        <w:rPr>
          <w:rFonts w:ascii="Open Sans" w:hAnsi="Open Sans" w:eastAsia="Open Sans" w:cs="Open Sans"/>
          <w:color w:val="525C65"/>
          <w:sz w:val="24"/>
          <w:szCs w:val="24"/>
          <w:u w:val="none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Multi-factor authentication(14 days, Charlotte office info)</w:t>
      </w:r>
    </w:p>
    <w:p>
      <w:pPr>
        <w:pStyle w:val="LO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880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  <w:r>
        <w:br w:type="page"/>
      </w:r>
    </w:p>
    <w:p>
      <w:pPr>
        <w:pStyle w:val="LOnormal"/>
        <w:rPr>
          <w:rFonts w:ascii="Open Sans" w:hAnsi="Open Sans" w:eastAsia="Open Sans" w:cs="Open Sans"/>
          <w:b/>
          <w:b/>
          <w:sz w:val="28"/>
          <w:szCs w:val="28"/>
        </w:rPr>
      </w:pPr>
      <w:r>
        <w:rPr>
          <w:rFonts w:eastAsia="Open Sans" w:cs="Open Sans" w:ascii="Open Sans" w:hAnsi="Open Sans"/>
          <w:b/>
          <w:sz w:val="28"/>
          <w:szCs w:val="28"/>
        </w:rPr>
        <w:t>Network Security</w:t>
      </w:r>
    </w:p>
    <w:p>
      <w:pPr>
        <w:pStyle w:val="LOnormal"/>
        <w:numPr>
          <w:ilvl w:val="0"/>
          <w:numId w:val="1"/>
        </w:numPr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 xml:space="preserve">Bastion overview 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11201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1"/>
        </w:numPr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public IP addresses removed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262255</wp:posOffset>
            </wp:positionH>
            <wp:positionV relativeFrom="paragraph">
              <wp:posOffset>-65405</wp:posOffset>
            </wp:positionV>
            <wp:extent cx="5943600" cy="154876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340995</wp:posOffset>
            </wp:positionH>
            <wp:positionV relativeFrom="paragraph">
              <wp:posOffset>149860</wp:posOffset>
            </wp:positionV>
            <wp:extent cx="5943600" cy="165354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9735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63700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9004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V2:</w:t>
      </w:r>
    </w:p>
    <w:p>
      <w:pPr>
        <w:pStyle w:val="LOnormal"/>
        <w:rPr>
          <w:rFonts w:ascii="Calibri" w:hAnsi="Calibri" w:eastAsia="Calibri" w:cs="Calibri"/>
          <w:color w:val="auto"/>
          <w:kern w:val="0"/>
          <w:sz w:val="22"/>
          <w:szCs w:val="22"/>
          <w:lang w:val="en-US" w:eastAsia="zh-CN" w:bidi="hi-IN"/>
        </w:rPr>
      </w:pPr>
      <w:r>
        <w:rPr>
          <w:rFonts w:eastAsia="Calibri" w:cs="Calibri"/>
          <w:color w:val="auto"/>
          <w:kern w:val="0"/>
          <w:sz w:val="22"/>
          <w:szCs w:val="22"/>
          <w:lang w:val="en-US" w:eastAsia="zh-CN" w:bidi="hi-IN"/>
        </w:rPr>
        <w:t>Removed public ip address from VM-WS16DevWeb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70150"/>
            <wp:effectExtent l="0" t="0" r="0" b="0"/>
            <wp:wrapSquare wrapText="largest"/>
            <wp:docPr id="26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rPr>
          <w:rFonts w:ascii="Open Sans" w:hAnsi="Open Sans" w:eastAsia="Open Sans" w:cs="Open Sans"/>
          <w:b/>
          <w:b/>
          <w:sz w:val="28"/>
          <w:szCs w:val="28"/>
        </w:rPr>
      </w:pPr>
      <w:r>
        <w:rPr>
          <w:rFonts w:eastAsia="Open Sans" w:cs="Open Sans" w:ascii="Open Sans" w:hAnsi="Open Sans"/>
          <w:b/>
          <w:sz w:val="28"/>
          <w:szCs w:val="28"/>
        </w:rPr>
        <w:t>Data and Encryption</w:t>
      </w:r>
    </w:p>
    <w:p>
      <w:pPr>
        <w:pStyle w:val="LOnormal"/>
        <w:numPr>
          <w:ilvl w:val="0"/>
          <w:numId w:val="3"/>
        </w:numPr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Encryption types for VM</w:t>
      </w:r>
      <w:r>
        <w:rPr>
          <w:rFonts w:eastAsia="Open Sans" w:cs="Open Sans" w:ascii="Open Sans" w:hAnsi="Open Sans"/>
          <w:color w:val="525C65"/>
          <w:sz w:val="18"/>
          <w:szCs w:val="18"/>
        </w:rPr>
        <w:t xml:space="preserve"> ( devapp,DevWeb,OpWeb,HRL-App,OPApp, HRL-Web)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303780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V</w:t>
      </w:r>
      <w:r>
        <w:rPr>
          <w:rFonts w:eastAsia="Open Sans" w:cs="Open Sans" w:ascii="Open Sans" w:hAnsi="Open Sans"/>
          <w:color w:val="525C65"/>
          <w:kern w:val="0"/>
          <w:sz w:val="24"/>
          <w:szCs w:val="24"/>
          <w:lang w:val="en-US" w:eastAsia="zh-CN" w:bidi="hi-IN"/>
        </w:rPr>
        <w:t>3</w:t>
      </w:r>
      <w:r>
        <w:rPr>
          <w:rFonts w:eastAsia="Open Sans" w:cs="Open Sans" w:ascii="Open Sans" w:hAnsi="Open Sans"/>
          <w:color w:val="525C65"/>
          <w:sz w:val="24"/>
          <w:szCs w:val="24"/>
        </w:rPr>
        <w:t>: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that OS disks are encrypted: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229485"/>
            <wp:effectExtent l="0" t="0" r="0" b="0"/>
            <wp:wrapSquare wrapText="largest"/>
            <wp:docPr id="28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186305"/>
            <wp:effectExtent l="0" t="0" r="0" b="0"/>
            <wp:wrapSquare wrapText="largest"/>
            <wp:docPr id="29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13025"/>
            <wp:effectExtent l="0" t="0" r="0" b="0"/>
            <wp:wrapSquare wrapText="largest"/>
            <wp:docPr id="3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073910"/>
            <wp:effectExtent l="0" t="0" r="0" b="0"/>
            <wp:wrapSquare wrapText="largest"/>
            <wp:docPr id="31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114300</wp:posOffset>
            </wp:positionH>
            <wp:positionV relativeFrom="paragraph">
              <wp:posOffset>152400</wp:posOffset>
            </wp:positionV>
            <wp:extent cx="5715000" cy="2236470"/>
            <wp:effectExtent l="0" t="0" r="0" b="0"/>
            <wp:wrapSquare wrapText="largest"/>
            <wp:docPr id="32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114300</wp:posOffset>
            </wp:positionH>
            <wp:positionV relativeFrom="paragraph">
              <wp:posOffset>445135</wp:posOffset>
            </wp:positionV>
            <wp:extent cx="5715000" cy="2176780"/>
            <wp:effectExtent l="0" t="0" r="0" b="0"/>
            <wp:wrapSquare wrapText="largest"/>
            <wp:docPr id="33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numPr>
          <w:ilvl w:val="0"/>
          <w:numId w:val="3"/>
        </w:numPr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Firewalls and virtual networks page</w:t>
      </w:r>
    </w:p>
    <w:p>
      <w:pPr>
        <w:pStyle w:val="LOnormal"/>
        <w:numPr>
          <w:ilvl w:val="1"/>
          <w:numId w:val="3"/>
        </w:numPr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no public access and TLS  for SQL servers(prod, dev)</w:t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732155</wp:posOffset>
            </wp:positionH>
            <wp:positionV relativeFrom="paragraph">
              <wp:posOffset>-1270</wp:posOffset>
            </wp:positionV>
            <wp:extent cx="5257800" cy="2411730"/>
            <wp:effectExtent l="0" t="0" r="0" b="0"/>
            <wp:wrapSquare wrapText="largest"/>
            <wp:docPr id="34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480310"/>
            <wp:effectExtent l="0" t="0" r="0" b="0"/>
            <wp:wrapSquare wrapText="largest"/>
            <wp:docPr id="35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268220"/>
            <wp:effectExtent l="0" t="0" r="0" b="0"/>
            <wp:wrapSquare wrapText="largest"/>
            <wp:docPr id="36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378075"/>
            <wp:effectExtent l="0" t="0" r="0" b="0"/>
            <wp:wrapSquare wrapText="largest"/>
            <wp:docPr id="37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1080" w:hanging="0"/>
        <w:rPr/>
      </w:pPr>
      <w:r>
        <w:rPr/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144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numPr>
          <w:ilvl w:val="0"/>
          <w:numId w:val="3"/>
        </w:numPr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Azure Defender SQL server enabled(prod, dev)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093085"/>
            <wp:effectExtent l="0" t="0" r="0" b="0"/>
            <wp:wrapSquare wrapText="largest"/>
            <wp:docPr id="38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053715"/>
            <wp:effectExtent l="0" t="0" r="0" b="0"/>
            <wp:wrapSquare wrapText="largest"/>
            <wp:docPr id="39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numPr>
          <w:ilvl w:val="0"/>
          <w:numId w:val="3"/>
        </w:numPr>
        <w:ind w:left="720" w:hanging="360"/>
        <w:rPr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 xml:space="preserve">Proof of </w:t>
      </w:r>
      <w:r>
        <w:rPr>
          <w:rFonts w:eastAsia="Open Sans" w:cs="Open Sans" w:ascii="Open Sans" w:hAnsi="Open Sans"/>
          <w:color w:val="525C65"/>
          <w:sz w:val="24"/>
          <w:szCs w:val="24"/>
          <w:highlight w:val="white"/>
        </w:rPr>
        <w:t>Azure AD authentication for SQL enabled</w:t>
      </w:r>
      <w:r>
        <w:rPr>
          <w:rFonts w:eastAsia="Open Sans" w:cs="Open Sans" w:ascii="Open Sans" w:hAnsi="Open Sans"/>
          <w:color w:val="525C65"/>
          <w:sz w:val="24"/>
          <w:szCs w:val="24"/>
        </w:rPr>
        <w:t>(prod, dev)</w:t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26870"/>
            <wp:effectExtent l="0" t="0" r="0" b="0"/>
            <wp:wrapSquare wrapText="largest"/>
            <wp:docPr id="4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496060"/>
            <wp:effectExtent l="0" t="0" r="0" b="0"/>
            <wp:wrapSquare wrapText="largest"/>
            <wp:docPr id="4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ind w:left="720" w:hanging="360"/>
        <w:rPr>
          <w:color w:val="525C65"/>
          <w:sz w:val="24"/>
          <w:szCs w:val="24"/>
        </w:rPr>
      </w:pPr>
      <w:r>
        <w:rPr>
          <w:color w:val="525C65"/>
          <w:sz w:val="24"/>
          <w:szCs w:val="24"/>
        </w:rPr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  <w:r>
        <w:br w:type="page"/>
      </w:r>
    </w:p>
    <w:p>
      <w:pPr>
        <w:pStyle w:val="LOnormal"/>
        <w:rPr/>
      </w:pPr>
      <w:r>
        <w:rPr/>
      </w:r>
    </w:p>
    <w:p>
      <w:pPr>
        <w:pStyle w:val="LOnormal"/>
        <w:rPr>
          <w:rFonts w:ascii="Open Sans" w:hAnsi="Open Sans" w:eastAsia="Open Sans" w:cs="Open Sans"/>
          <w:b/>
          <w:b/>
          <w:sz w:val="28"/>
          <w:szCs w:val="28"/>
        </w:rPr>
      </w:pPr>
      <w:r>
        <w:rPr>
          <w:rFonts w:eastAsia="Open Sans" w:cs="Open Sans" w:ascii="Open Sans" w:hAnsi="Open Sans"/>
          <w:b/>
          <w:sz w:val="28"/>
          <w:szCs w:val="28"/>
        </w:rPr>
        <w:t>Cloud Protection</w:t>
      </w:r>
    </w:p>
    <w:p>
      <w:pPr>
        <w:pStyle w:val="LOnormal"/>
        <w:numPr>
          <w:ilvl w:val="0"/>
          <w:numId w:val="6"/>
        </w:numPr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IaaSAntimalware enabled</w:t>
      </w:r>
      <w:r>
        <w:rPr>
          <w:rFonts w:eastAsia="Open Sans" w:cs="Open Sans" w:ascii="Open Sans" w:hAnsi="Open Sans"/>
          <w:color w:val="525C65"/>
          <w:sz w:val="18"/>
          <w:szCs w:val="18"/>
        </w:rPr>
        <w:t xml:space="preserve"> ( devapp,DevWeb,OpApp,HRL-Web, HRL-App,OpWeb)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132965"/>
            <wp:effectExtent l="0" t="0" r="0" b="0"/>
            <wp:wrapSquare wrapText="largest"/>
            <wp:docPr id="42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214245"/>
            <wp:effectExtent l="0" t="0" r="0" b="0"/>
            <wp:wrapSquare wrapText="largest"/>
            <wp:docPr id="4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327275"/>
            <wp:effectExtent l="0" t="0" r="0" b="0"/>
            <wp:wrapSquare wrapText="largest"/>
            <wp:docPr id="4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328545"/>
            <wp:effectExtent l="0" t="0" r="0" b="0"/>
            <wp:wrapSquare wrapText="largest"/>
            <wp:docPr id="45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159000"/>
            <wp:effectExtent l="0" t="0" r="0" b="0"/>
            <wp:wrapSquare wrapText="largest"/>
            <wp:docPr id="46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rPr/>
      </w:pPr>
      <w:r>
        <w:rPr/>
        <w:t>V2: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kern w:val="0"/>
          <w:sz w:val="24"/>
          <w:szCs w:val="24"/>
          <w:lang w:val="en-US" w:eastAsia="zh-CN" w:bidi="hi-IN"/>
        </w:rPr>
      </w:pPr>
      <w:r>
        <w:rPr>
          <w:rFonts w:eastAsia="Open Sans" w:cs="Open Sans" w:ascii="Open Sans" w:hAnsi="Open Sans"/>
          <w:color w:val="525C65"/>
          <w:kern w:val="0"/>
          <w:sz w:val="24"/>
          <w:szCs w:val="24"/>
          <w:lang w:val="en-US" w:eastAsia="zh-CN" w:bidi="hi-IN"/>
        </w:rPr>
        <w:t>Antimalware on VM-WS16DevWeb: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kern w:val="0"/>
          <w:sz w:val="24"/>
          <w:szCs w:val="24"/>
          <w:lang w:val="en-US" w:eastAsia="zh-CN" w:bidi="hi-IN"/>
        </w:rPr>
      </w:pPr>
      <w:r>
        <w:rPr>
          <w:rFonts w:eastAsia="Open Sans" w:cs="Open Sans" w:ascii="Open Sans" w:hAnsi="Open Sans"/>
          <w:color w:val="525C65"/>
          <w:kern w:val="0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256790"/>
            <wp:effectExtent l="0" t="0" r="0" b="0"/>
            <wp:wrapSquare wrapText="largest"/>
            <wp:docPr id="47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numPr>
          <w:ilvl w:val="0"/>
          <w:numId w:val="6"/>
        </w:numPr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Recommendations</w:t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114300</wp:posOffset>
            </wp:positionH>
            <wp:positionV relativeFrom="paragraph">
              <wp:posOffset>15875</wp:posOffset>
            </wp:positionV>
            <wp:extent cx="5715000" cy="2224405"/>
            <wp:effectExtent l="0" t="0" r="0" b="0"/>
            <wp:wrapSquare wrapText="largest"/>
            <wp:docPr id="48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177800</wp:posOffset>
            </wp:positionH>
            <wp:positionV relativeFrom="paragraph">
              <wp:posOffset>2274570</wp:posOffset>
            </wp:positionV>
            <wp:extent cx="5715000" cy="2874010"/>
            <wp:effectExtent l="0" t="0" r="0" b="0"/>
            <wp:wrapSquare wrapText="largest"/>
            <wp:docPr id="49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/>
        <w:t>“</w:t>
      </w:r>
      <w:r>
        <w:rPr/>
        <w:t>Enable MFA” currently has a score of 0/10. So it has the biggest impact on security if we fix it.</w:t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209550</wp:posOffset>
            </wp:positionH>
            <wp:positionV relativeFrom="paragraph">
              <wp:posOffset>-40640</wp:posOffset>
            </wp:positionV>
            <wp:extent cx="5715000" cy="371475"/>
            <wp:effectExtent l="0" t="0" r="0" b="0"/>
            <wp:wrapSquare wrapText="largest"/>
            <wp:docPr id="50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FA is not set up for user account Ramesh Bamidipati.</w:t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1379220</wp:posOffset>
            </wp:positionH>
            <wp:positionV relativeFrom="paragraph">
              <wp:posOffset>26035</wp:posOffset>
            </wp:positionV>
            <wp:extent cx="3010535" cy="1304925"/>
            <wp:effectExtent l="0" t="0" r="0" b="0"/>
            <wp:wrapSquare wrapText="largest"/>
            <wp:docPr id="51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/>
        <w:t>The other 2 top remidations are “Apply system updates” and “Remidate vulnerabilities”. Both of them have a score of 0/6.</w:t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669290"/>
            <wp:effectExtent l="0" t="0" r="0" b="0"/>
            <wp:wrapSquare wrapText="largest"/>
            <wp:docPr id="52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</w:t>
      </w:r>
      <w:r>
        <w:rPr/>
        <w:t>e should install the log analytics agent on all of our VMs.</w:t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/>
        <w:t>And we should install vulnerability assessment tools on our VMs.</w:t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  <w:r>
        <w:br w:type="page"/>
      </w:r>
    </w:p>
    <w:p>
      <w:pPr>
        <w:pStyle w:val="LOnormal"/>
        <w:rPr/>
      </w:pPr>
      <w:r>
        <w:rPr/>
      </w:r>
    </w:p>
    <w:p>
      <w:pPr>
        <w:pStyle w:val="LOnormal"/>
        <w:rPr>
          <w:rFonts w:ascii="Open Sans" w:hAnsi="Open Sans" w:eastAsia="Open Sans" w:cs="Open Sans"/>
          <w:b/>
          <w:b/>
          <w:sz w:val="28"/>
          <w:szCs w:val="28"/>
        </w:rPr>
      </w:pPr>
      <w:r>
        <w:rPr>
          <w:rFonts w:eastAsia="Open Sans" w:cs="Open Sans" w:ascii="Open Sans" w:hAnsi="Open Sans"/>
          <w:b/>
          <w:sz w:val="28"/>
          <w:szCs w:val="28"/>
        </w:rPr>
        <w:t>Monitoring</w:t>
      </w:r>
    </w:p>
    <w:p>
      <w:pPr>
        <w:pStyle w:val="LOnormal"/>
        <w:numPr>
          <w:ilvl w:val="0"/>
          <w:numId w:val="2"/>
        </w:numPr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Azure SQL auditing with Log analytics (devdata,proddata)</w:t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6234430"/>
            <wp:effectExtent l="0" t="0" r="0" b="0"/>
            <wp:wrapSquare wrapText="largest"/>
            <wp:docPr id="53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6287135"/>
            <wp:effectExtent l="0" t="0" r="0" b="0"/>
            <wp:wrapSquare wrapText="largest"/>
            <wp:docPr id="54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Autospacing="0" w:after="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numPr>
          <w:ilvl w:val="0"/>
          <w:numId w:val="2"/>
        </w:numPr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Sentinel connectors (2+)</w:t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V2:</w:t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Add Azure Active Directory Connector to Sentinal</w:t>
      </w:r>
    </w:p>
    <w:p>
      <w:pPr>
        <w:pStyle w:val="LOnormal"/>
        <w:rPr>
          <w:rFonts w:ascii="Open Sans" w:hAnsi="Open Sans" w:eastAsia="Open Sans" w:cs="Open Sans"/>
          <w:b/>
          <w:b/>
          <w:sz w:val="28"/>
          <w:szCs w:val="28"/>
        </w:rPr>
      </w:pPr>
      <w:r>
        <w:rPr>
          <w:rFonts w:eastAsia="Open Sans" w:cs="Open Sans" w:ascii="Open Sans" w:hAnsi="Open Sans"/>
          <w:b/>
          <w:sz w:val="28"/>
          <w:szCs w:val="28"/>
        </w:rPr>
      </w:r>
    </w:p>
    <w:p>
      <w:pPr>
        <w:pStyle w:val="LOnormal"/>
        <w:rPr>
          <w:rFonts w:ascii="Open Sans" w:hAnsi="Open Sans" w:eastAsia="Open Sans" w:cs="Open Sans"/>
          <w:b/>
          <w:b/>
          <w:sz w:val="28"/>
          <w:szCs w:val="28"/>
        </w:rPr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63670"/>
            <wp:effectExtent l="0" t="0" r="0" b="0"/>
            <wp:wrapSquare wrapText="largest"/>
            <wp:docPr id="55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Open Sans" w:cs="Open Sans" w:ascii="Open Sans" w:hAnsi="Open Sans"/>
          <w:b/>
          <w:sz w:val="28"/>
          <w:szCs w:val="28"/>
        </w:rPr>
        <w:t>C</w:t>
      </w:r>
      <w:r>
        <w:rPr>
          <w:rFonts w:eastAsia="Open Sans" w:cs="Open Sans" w:ascii="Open Sans" w:hAnsi="Open Sans"/>
          <w:b/>
          <w:sz w:val="28"/>
          <w:szCs w:val="28"/>
        </w:rPr>
        <w:t>ompliance</w:t>
      </w:r>
    </w:p>
    <w:p>
      <w:pPr>
        <w:pStyle w:val="LOnormal"/>
        <w:numPr>
          <w:ilvl w:val="0"/>
          <w:numId w:val="4"/>
        </w:numPr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t>Proof of NIST SP 800-53 rev4 policy added</w:t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22450"/>
            <wp:effectExtent l="0" t="0" r="0" b="0"/>
            <wp:wrapSquare wrapText="largest"/>
            <wp:docPr id="56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>
          <w:rFonts w:eastAsia="Open Sans" w:cs="Open Sans" w:ascii="Open Sans" w:hAnsi="Open Sans"/>
          <w:color w:val="525C65"/>
          <w:sz w:val="24"/>
          <w:szCs w:val="24"/>
        </w:rPr>
      </w:r>
    </w:p>
    <w:p>
      <w:pPr>
        <w:pStyle w:val="LOnormal"/>
        <w:spacing w:before="0" w:after="160"/>
        <w:ind w:left="720" w:hanging="360"/>
        <w:rPr>
          <w:rFonts w:ascii="Open Sans" w:hAnsi="Open Sans" w:eastAsia="Open Sans" w:cs="Open Sans"/>
          <w:color w:val="525C65"/>
          <w:sz w:val="24"/>
          <w:szCs w:val="24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Open San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e967d3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967d3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LOnormal"/>
    <w:uiPriority w:val="34"/>
    <w:qFormat/>
    <w:rsid w:val="004e1b47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LOnormal"/>
    <w:link w:val="HeaderChar"/>
    <w:uiPriority w:val="99"/>
    <w:unhideWhenUsed/>
    <w:rsid w:val="00e967d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LOnormal"/>
    <w:link w:val="FooterChar"/>
    <w:uiPriority w:val="99"/>
    <w:unhideWhenUsed/>
    <w:rsid w:val="00e967d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numbering" Target="numbering.xml"/><Relationship Id="rId59" Type="http://schemas.openxmlformats.org/officeDocument/2006/relationships/fontTable" Target="fontTable.xml"/><Relationship Id="rId60" Type="http://schemas.openxmlformats.org/officeDocument/2006/relationships/settings" Target="settings.xml"/><Relationship Id="rId61" Type="http://schemas.openxmlformats.org/officeDocument/2006/relationships/theme" Target="theme/theme1.xml"/><Relationship Id="rId6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468DXS/PP9J0VSR3r6H7ZhNS3iw==">AMUW2mX/7+BJd0+4iR6oL9Io1P/fzX2OhEE44/cQnWp/7vA/cVEuXgRtsD9JvbMYvHn3MYIPhuvucd7sISdK9ATt0L9Rdd9XTzmQ4oI6GRrx2nmRHgPbvvo=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115</TotalTime>
  <Application>LibreOffice/7.0.5.2$Windows_X86_64 LibreOffice_project/64390860c6cd0aca4beafafcfd84613dd9dfb63a</Application>
  <AppVersion>15.0000</AppVersion>
  <Pages>29</Pages>
  <Words>296</Words>
  <Characters>1586</Characters>
  <CharactersWithSpaces>1811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2021-09-28T06:50:00Z</dcterms:created>
  <dc:creator>Ed Clausen</dc:creator>
  <dc:description/>
  <dc:language>en-US</dc:language>
  <cp:lastModifiedBy/>
  <dcterms:modified xsi:type="dcterms:W3CDTF">2022-07-30T06:23:56Z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