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color w:val="5B686A"/>
          <w:sz w:val="20"/>
        </w:rPr>
        <w:t>PROPUESTA COMERCIAL</w:t>
      </w:r>
    </w:p>
    <w:p>
      <w:pPr>
        <w:keepNext/>
        <w:spacing w:after="100"/>
      </w:pPr>
      <w:r>
        <w:rPr>
          <w:rFonts w:ascii="Calibri" w:hAnsi="Calibri"/>
          <w:b/>
          <w:color w:val="081618"/>
          <w:sz w:val="56"/>
        </w:rPr>
        <w:t>Cotización comercial</w:t>
      </w:r>
    </w:p>
    <w:p>
      <w:pPr>
        <w:spacing w:after="300"/>
      </w:pPr>
      <w:r>
        <w:rPr>
          <w:rFonts w:ascii="Calibri" w:hAnsi="Calibri"/>
          <w:color w:val="5B686A"/>
          <w:sz w:val="27"/>
        </w:rPr>
        <w:t>Solución integral de seguimiento y gestión de flota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1D8"/>
          <w:left w:val="single" w:sz="4" w:space="0" w:color="D7E1D8"/>
          <w:bottom w:val="single" w:sz="4" w:space="0" w:color="D7E1D8"/>
          <w:right w:val="single" w:sz="4" w:space="0" w:color="D7E1D8"/>
          <w:insideH w:val="single" w:sz="4" w:space="0" w:color="D7E1D8"/>
          <w:insideV w:val="single" w:sz="4" w:space="0" w:color="D7E1D8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1618"/>
                <w:sz w:val="19"/>
              </w:rPr>
              <w:t>Cotización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81618"/>
                <w:sz w:val="19"/>
              </w:rPr>
              <w:t>COT-ESACOB-2026-008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1618"/>
                <w:sz w:val="19"/>
              </w:rPr>
              <w:t>Fecha de emisión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81618"/>
                <w:sz w:val="19"/>
              </w:rPr>
              <w:t>04 de agosto de 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1618"/>
                <w:sz w:val="19"/>
              </w:rPr>
              <w:t>Vigencia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81618"/>
                <w:sz w:val="19"/>
              </w:rPr>
              <w:t>30 días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1618"/>
                <w:sz w:val="19"/>
              </w:rPr>
              <w:t>Proveedor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81618"/>
                <w:sz w:val="19"/>
              </w:rPr>
              <w:t>ESACOB SERVICIOS GENERALES S.A.C. | RUC 20610791132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1618"/>
                <w:sz w:val="19"/>
              </w:rPr>
              <w:t>Domicilio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81618"/>
                <w:sz w:val="19"/>
              </w:rPr>
              <w:t>Calle Poe, Mz. K, Lote 7, Surquillo, Lima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1618"/>
                <w:sz w:val="19"/>
              </w:rPr>
              <w:t>Cliente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81618"/>
                <w:sz w:val="19"/>
              </w:rPr>
              <w:t>APL Servicios Generales E.I.R.L. | RUC 20600397789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1618"/>
                <w:sz w:val="19"/>
              </w:rPr>
              <w:t>Domicilio del cliente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81618"/>
                <w:sz w:val="19"/>
              </w:rPr>
              <w:t>Lima / Lima / Ate, Perú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1618"/>
                <w:sz w:val="19"/>
              </w:rPr>
              <w:t>Contacto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81618"/>
                <w:sz w:val="19"/>
              </w:rPr>
              <w:t>manuel_cortezballardo@outlook.com | 986 969 037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8F267"/>
          <w:left w:val="single" w:sz="8" w:space="0" w:color="C8F267"/>
          <w:bottom w:val="single" w:sz="8" w:space="0" w:color="C8F267"/>
          <w:right w:val="single" w:sz="8" w:space="0" w:color="C8F267"/>
          <w:insideH w:val="single" w:sz="8" w:space="0" w:color="C8F267"/>
          <w:insideV w:val="single" w:sz="8" w:space="0" w:color="C8F267"/>
        </w:tblBorders>
      </w:tblPr>
      <w:tblGrid>
        <w:gridCol w:w="6000"/>
        <w:gridCol w:w="3360"/>
      </w:tblGrid>
      <w:tr>
        <w:trPr>
          <w:tblHeader w:val="true"/>
        </w:trPr>
        <w:tc>
          <w:tcPr>
            <w:tcW w:type="dxa" w:w="600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08161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C8F267"/>
                <w:sz w:val="20"/>
              </w:rPr>
              <w:t>TOTAL DE LA PROPUESTA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38"/>
              </w:rPr>
              <w:t>USD 20,000 + IGV</w:t>
            </w:r>
          </w:p>
        </w:tc>
        <w:tc>
          <w:tcPr>
            <w:tcW w:type="dxa" w:w="336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C8F26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081618"/>
                <w:sz w:val="19"/>
              </w:rPr>
              <w:t>Total con IGV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081618"/>
                <w:sz w:val="36"/>
              </w:rPr>
              <w:t>USD 23,600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1D8"/>
          <w:left w:val="single" w:sz="4" w:space="0" w:color="D7E1D8"/>
          <w:bottom w:val="single" w:sz="4" w:space="0" w:color="D7E1D8"/>
          <w:right w:val="single" w:sz="4" w:space="0" w:color="D7E1D8"/>
          <w:insideH w:val="single" w:sz="4" w:space="0" w:color="D7E1D8"/>
          <w:insideV w:val="single" w:sz="4" w:space="0" w:color="D7E1D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3C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1618"/>
                <w:sz w:val="19"/>
              </w:rPr>
              <w:t xml:space="preserve">Resumen ejecutivo: </w:t>
            </w:r>
            <w:r>
              <w:rPr>
                <w:rFonts w:ascii="Calibri" w:hAnsi="Calibri"/>
                <w:color w:val="081618"/>
                <w:sz w:val="19"/>
              </w:rPr>
              <w:t>ESACOB implementará y entregará una solución integral de seguimiento y gestión de flota para APL, con una capacidad de referencia de 100 vehículos y aproximadamente 2,000 viajes mensuales.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/>
          <w:color w:val="081618"/>
          <w:sz w:val="22"/>
        </w:rPr>
        <w:t>1. Objeto de la propuesta</w:t>
      </w:r>
    </w:p>
    <w:p>
      <w:r>
        <w:rPr>
          <w:rFonts w:ascii="Calibri" w:hAnsi="Calibri"/>
          <w:color w:val="081618"/>
          <w:sz w:val="22"/>
        </w:rPr>
        <w:t>Implementación, personalización, publicación y transferencia de una solución de gestión de flota compuesta por aplicaciones Android para pasajeros y conductores, dashboard web de operación y backend cloud sobre Firebase y Google Cloud.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2. Alcance incluido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1D8"/>
          <w:left w:val="single" w:sz="6" w:space="0" w:color="D7E1D8"/>
          <w:bottom w:val="single" w:sz="6" w:space="0" w:color="D7E1D8"/>
          <w:right w:val="single" w:sz="6" w:space="0" w:color="D7E1D8"/>
          <w:insideH w:val="single" w:sz="6" w:space="0" w:color="D7E1D8"/>
          <w:insideV w:val="single" w:sz="6" w:space="0" w:color="D7E1D8"/>
        </w:tblBorders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Componente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Incluye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App de pasajeros Android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Registro, solicitud de viajes inmediatos y programados, visualización del vehículo asignado, seguimiento del viaje e historial.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App de conductores Android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Registro, carga de documentos, aprobación, turno, envío de ubicación GPS, recepción de viajes y ejecución por estados.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Dashboard web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Mapa de flota, conductores, lugares, viajes, asignaciones, sedes, usuarios, historial y monitoreo operativo.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Backend y servicios cloud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Firebase Realtime Database, Authentication, Storage, Cloud Functions y Cloud Messaging; configuración, despliegue y pruebas.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Mapas y rutas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Mapbox Maps SDK/GL JS, Geocoding, Directions, Matrix y Traffic; tokens restringidos y alertas de consumo.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Personalización de marca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Implementación del logo, colores y elementos de marca entregados por APL.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Publicación Android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Preparación y publicación de las aplicaciones en Google Play Store, usando las cuentas y accesos de APL.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Documentación y capacitación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Dossier comercial, manual de operación, referencia técnica, guía de despliegue y sesiones de capacitación.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Código fuente y transferencia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Entrega del repositorio, documentación técnica y archivos necesarios después del pago final.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Administración inicial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Administración, mantenimiento y soporte operativo por parte de ESACOB hasta el 31 de diciembre de 2026.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/>
          <w:color w:val="081618"/>
          <w:sz w:val="22"/>
        </w:rPr>
        <w:t>3. Capacidad e intervalos de referencia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1D8"/>
          <w:left w:val="single" w:sz="6" w:space="0" w:color="D7E1D8"/>
          <w:bottom w:val="single" w:sz="6" w:space="0" w:color="D7E1D8"/>
          <w:right w:val="single" w:sz="6" w:space="0" w:color="D7E1D8"/>
          <w:insideH w:val="single" w:sz="6" w:space="0" w:color="D7E1D8"/>
          <w:insideV w:val="single" w:sz="6" w:space="0" w:color="D7E1D8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Referencia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Valor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Flota inicial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100 vehículos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Volumen estimado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Aproximadamente 2,000 viajes mensuales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Envío de ubicación del conductor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Inmediato al iniciar y luego cada 15 segundos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Actualización del dashboard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Cambios en tiempo real y revisión visual cada 10 segundos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Ubicación considerada obsoleta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Después de 45 segundos sin actualización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Retiro visual por desconexión prolongada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Después de 3 minutos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Búsqueda de viajes del pasajero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Consulta aproximada cada 3 segundos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Consulta del viaje activo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Estado cada 4 segundos y posición del conductor cada 5 segundos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/>
          <w:color w:val="081618"/>
          <w:sz w:val="22"/>
        </w:rPr>
        <w:t>4. Propuesta económica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1D8"/>
          <w:left w:val="single" w:sz="6" w:space="0" w:color="D7E1D8"/>
          <w:bottom w:val="single" w:sz="6" w:space="0" w:color="D7E1D8"/>
          <w:right w:val="single" w:sz="6" w:space="0" w:color="D7E1D8"/>
          <w:insideH w:val="single" w:sz="6" w:space="0" w:color="D7E1D8"/>
          <w:insideV w:val="single" w:sz="6" w:space="0" w:color="D7E1D8"/>
        </w:tblBorders>
      </w:tblPr>
      <w:tblGrid>
        <w:gridCol w:w="6900"/>
        <w:gridCol w:w="2460"/>
      </w:tblGrid>
      <w:tr>
        <w:trPr>
          <w:tblHeader w:val="true"/>
        </w:trP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Concepto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Importe</w:t>
            </w:r>
          </w:p>
        </w:tc>
      </w:tr>
      <w:t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Implementación, personalización, publicación, documentación, transferencia del código fuente y administración inicial hasta el 31/12/2026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USD 20,000.00</w:t>
            </w:r>
          </w:p>
        </w:tc>
      </w:tr>
      <w:t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IGV 18%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USD 3,600.00</w:t>
            </w:r>
          </w:p>
        </w:tc>
      </w:tr>
      <w:t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Total de la propuesta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USD 23,600.00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/>
          <w:color w:val="081618"/>
          <w:sz w:val="22"/>
        </w:rPr>
        <w:t>5. Forma de pago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1D8"/>
          <w:left w:val="single" w:sz="6" w:space="0" w:color="D7E1D8"/>
          <w:bottom w:val="single" w:sz="6" w:space="0" w:color="D7E1D8"/>
          <w:right w:val="single" w:sz="6" w:space="0" w:color="D7E1D8"/>
          <w:insideH w:val="single" w:sz="6" w:space="0" w:color="D7E1D8"/>
          <w:insideV w:val="single" w:sz="6" w:space="0" w:color="D7E1D8"/>
        </w:tblBorders>
      </w:tblPr>
      <w:tblGrid>
        <w:gridCol w:w="3550"/>
        <w:gridCol w:w="1800"/>
        <w:gridCol w:w="1700"/>
        <w:gridCol w:w="2310"/>
      </w:tblGrid>
      <w:tr>
        <w:trPr>
          <w:tblHeader w:val="true"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Hito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Base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IGV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Total</w:t>
            </w:r>
          </w:p>
        </w:tc>
      </w:tr>
      <w:t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Al firmar la propuesta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USD 4,000.00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USD 720.00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USD 4,720.00</w:t>
            </w:r>
          </w:p>
        </w:tc>
      </w:tr>
      <w:t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Pago final, a más tardar el 30/09/2026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USD 16,000.00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USD 2,880.00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USD 18,880.00</w:t>
            </w:r>
          </w:p>
        </w:tc>
      </w:tr>
      <w:t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Total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USD 20,000.00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USD 3,600.00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USD 23,600.00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1D8"/>
          <w:left w:val="single" w:sz="4" w:space="0" w:color="D7E1D8"/>
          <w:bottom w:val="single" w:sz="4" w:space="0" w:color="D7E1D8"/>
          <w:right w:val="single" w:sz="4" w:space="0" w:color="D7E1D8"/>
          <w:insideH w:val="single" w:sz="4" w:space="0" w:color="D7E1D8"/>
          <w:insideV w:val="single" w:sz="4" w:space="0" w:color="D7E1D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7F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1618"/>
                <w:sz w:val="19"/>
              </w:rPr>
              <w:t xml:space="preserve">Condición de transferencia: </w:t>
            </w:r>
            <w:r>
              <w:rPr>
                <w:rFonts w:ascii="Calibri" w:hAnsi="Calibri"/>
                <w:color w:val="081618"/>
                <w:sz w:val="19"/>
              </w:rPr>
              <w:t>La propiedad definitiva del código fuente, repositorio y archivos de entrega se transferirá a APL una vez recibido el pago final.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/>
          <w:color w:val="081618"/>
          <w:sz w:val="22"/>
        </w:rPr>
        <w:t>6. Infraestructura, servidores y APIs</w:t>
      </w:r>
    </w:p>
    <w:p>
      <w:r>
        <w:rPr>
          <w:rFonts w:ascii="Calibri" w:hAnsi="Calibri"/>
          <w:color w:val="081618"/>
          <w:sz w:val="22"/>
        </w:rPr>
        <w:t>Los servicios cloud y de terceros serán contratados y pagados directamente por APL. ESACOB configurará y pondrá en marcha el entorno utilizando cuentas propiedad de APL, para que el cliente conserve el control de sus datos, facturación y accesos.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APL asumirá directamente los consumos de Firebase, Google Cloud, Mapbox, hosting, almacenamiento, dominios y otros servicios de terceros.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ESACOB realizará la configuración de proyectos, claves restringidas, permisos, alertas de presupuesto, despliegue y validación técnica.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Los celulares o dispositivos GPS, líneas de datos y accesorios ya son responsabilidad de APL y no forman parte de esta cotización.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Las cuentas de Google Play Store y sus cargos de publicación serán gestionados por APL.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El consumo de APIs no es ilimitado ni está incluido como gasto operativo de ESACOB dentro del precio de implementación.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7. Cronograma y aceptación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Inicio: después de la firma y del pago inicial del 20%.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APL entregará logo, colores, accesos, información de operación y permisos necesarios para la publicación.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Entrega operativa máxima: 13 de agosto de 2026.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La solución será preparada para la operación de APL durante el evento de septiembre de 2026.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La conformidad será emitida por Alexandra Gisell Arias Espinoza, gerente general de APL.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El pago final tendrá como fecha máxima el 30 de septiembre de 2026.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8. Soporte, administración y límites</w:t>
      </w:r>
    </w:p>
    <w:p>
      <w:r>
        <w:rPr>
          <w:rFonts w:ascii="Calibri" w:hAnsi="Calibri"/>
          <w:color w:val="081618"/>
          <w:sz w:val="22"/>
        </w:rPr>
        <w:t>La administración, mantenimiento y soporte operativo de ESACOB están incluidos hasta el 31 de diciembre de 2026. Este alcance cubre corrección de errores, mantenimiento técnico, operación y asistencia sobre las funciones incluidas.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Los nuevos módulos, funciones no descritas, integraciones adicionales o cambios de alcance se cotizarán por separado.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La continuidad del soporte después del 31 de diciembre de 2026 será opcional y se definirá mediante un nuevo acuerdo.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La fecha de entrega depende de que APL entregue oportunamente accesos, contenido de marca, cuentas de publicación y datos de operación.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9. Aprobación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1D8"/>
          <w:left w:val="single" w:sz="6" w:space="0" w:color="D7E1D8"/>
          <w:bottom w:val="single" w:sz="6" w:space="0" w:color="D7E1D8"/>
          <w:right w:val="single" w:sz="6" w:space="0" w:color="D7E1D8"/>
          <w:insideH w:val="single" w:sz="6" w:space="0" w:color="D7E1D8"/>
          <w:insideV w:val="single" w:sz="6" w:space="0" w:color="D7E1D8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Por ESACOB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81618"/>
                <w:sz w:val="18"/>
              </w:rPr>
              <w:t>Por APL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Gino Carlos Alexander Cortez Ballardo</w:t>
              <w:br/>
              <w:t>Gerente General</w:t>
              <w:br/>
              <w:t>ESACOB SERVICIOS GENERALES S.A.C.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Alexandra Gisell Arias Espinoza</w:t>
              <w:br/>
              <w:t>Gerente General</w:t>
              <w:br/>
              <w:t>APL Servicios Generales E.I.R.L.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Firma: ______________________________</w:t>
              <w:br/>
              <w:t>Fecha: ______________________________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81618"/>
                <w:sz w:val="18"/>
              </w:rPr>
              <w:t>Firma: ______________________________</w:t>
              <w:br/>
              <w:t>Fecha: ______________________________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1D8"/>
          <w:left w:val="single" w:sz="4" w:space="0" w:color="D7E1D8"/>
          <w:bottom w:val="single" w:sz="4" w:space="0" w:color="D7E1D8"/>
          <w:right w:val="single" w:sz="4" w:space="0" w:color="D7E1D8"/>
          <w:insideH w:val="single" w:sz="4" w:space="0" w:color="D7E1D8"/>
          <w:insideV w:val="single" w:sz="4" w:space="0" w:color="D7E1D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1618"/>
                <w:sz w:val="19"/>
              </w:rPr>
              <w:t xml:space="preserve">Observación comercial: </w:t>
            </w:r>
            <w:r>
              <w:rPr>
                <w:rFonts w:ascii="Calibri" w:hAnsi="Calibri"/>
                <w:color w:val="081618"/>
                <w:sz w:val="19"/>
              </w:rPr>
              <w:t>Esta cotización tiene una vigencia de 30 días desde el 04 de agosto de 2026 y deberá complementarse con un contrato de prestación de servicios y transferencia de propiedad intelectual.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B686A"/>
        <w:sz w:val="17"/>
      </w:rPr>
      <w:t xml:space="preserve">COT-ESACOB-2026-008  | 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86A"/>
        <w:sz w:val="17"/>
      </w:rPr>
      <w:t>ESACOB SERVICIOS GENERALES S.A.C.  |  Cotización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/>
      <w:color w:val="0816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816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816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5B686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540" w:hanging="271"/>
      <w:contextualSpacing/>
    </w:pPr>
    <w:rPr>
      <w:rFonts w:ascii="Calibri" w:hAnsi="Calibri"/>
      <w:color w:val="08161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540" w:hanging="271"/>
      <w:contextualSpacing/>
    </w:pPr>
    <w:rPr>
      <w:rFonts w:ascii="Calibri" w:hAnsi="Calibri"/>
      <w:color w:val="081618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16" w:right="216"/>
    </w:pPr>
    <w:rPr>
      <w:rFonts w:ascii="Consolas" w:hAnsi="Consolas"/>
      <w:color w:val="081618"/>
      <w:sz w:val="18"/>
    </w:rPr>
  </w:style>
  <w:style w:type="paragraph" w:customStyle="1" w:styleId="Callout">
    <w:name w:val="Callout"/>
    <w:pPr>
      <w:spacing w:before="120" w:after="160" w:line="276" w:lineRule="auto"/>
      <w:ind w:left="216" w:right="216"/>
    </w:pPr>
    <w:rPr>
      <w:rFonts w:ascii="Calibri" w:hAnsi="Calibri"/>
      <w:color w:val="08161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ESACOB - APL</dc:title>
  <dc:subject>Propuesta comercial de solución de seguimiento y gestión de flota</dc:subject>
  <dc:creator>ESACOB SERVICIOS GENERALES S.A.C.</dc:creator>
  <cp:keywords>cotización, fleet tracking, APL, ESACOB</cp:keywords>
  <dc:description>Prepared for commercial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