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before="80" w:after="80"/>
        <w:jc w:val="left"/>
      </w:pPr>
      <w:r>
        <w:rPr>
          <w:rFonts w:ascii="Calibri" w:hAnsi="Calibri"/>
          <w:b/>
          <w:color w:val="5B686A"/>
          <w:sz w:val="20"/>
        </w:rPr>
        <w:t>APL LOGISTIC</w:t>
      </w:r>
    </w:p>
    <w:p>
      <w:pPr>
        <w:keepNext/>
        <w:spacing w:before="0" w:after="120"/>
      </w:pPr>
      <w:r>
        <w:rPr>
          <w:rFonts w:ascii="Calibri" w:hAnsi="Calibri"/>
          <w:b/>
          <w:color w:val="081618"/>
          <w:sz w:val="56"/>
        </w:rPr>
        <w:t>Índice de documentación</w:t>
      </w:r>
    </w:p>
    <w:p>
      <w:pPr>
        <w:spacing w:after="280"/>
      </w:pPr>
      <w:r>
        <w:rPr>
          <w:rFonts w:ascii="Calibri" w:hAnsi="Calibri"/>
          <w:color w:val="5B686A"/>
          <w:sz w:val="26"/>
        </w:rPr>
        <w:t>Mapa de lectura, alcance y pendientes de entrega</w:t>
      </w:r>
    </w:p>
    <w:p>
      <w:pPr>
        <w:spacing w:after="280"/>
      </w:pPr>
      <w:r>
        <w:rPr>
          <w:rFonts w:ascii="Calibri" w:hAnsi="Calibri"/>
          <w:b/>
          <w:color w:val="5B686A"/>
          <w:sz w:val="19"/>
        </w:rPr>
        <w:t xml:space="preserve">Preparado para entrega comercial y técnica  |  Fuente: </w:t>
      </w:r>
      <w:r>
        <w:rPr>
          <w:rFonts w:ascii="Calibri" w:hAnsi="Calibri"/>
          <w:color w:val="5B686A"/>
          <w:sz w:val="19"/>
        </w:rPr>
        <w:t>README.md  |  Auditoría estática: 03/08/2026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1D8"/>
          <w:left w:val="single" w:sz="4" w:space="0" w:color="D7E1D8"/>
          <w:bottom w:val="single" w:sz="4" w:space="0" w:color="D7E1D8"/>
          <w:right w:val="single" w:sz="4" w:space="0" w:color="D7E1D8"/>
          <w:insideH w:val="single" w:sz="4" w:space="0" w:color="D7E1D8"/>
          <w:insideV w:val="single" w:sz="4" w:space="0" w:color="D7E1D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3"/>
          </w:tcPr>
          <w:p>
            <w:pPr>
              <w:spacing w:after="0"/>
            </w:pPr>
            <w:r>
              <w:rPr>
                <w:rFonts w:ascii="Calibri" w:hAnsi="Calibri"/>
                <w:color w:val="081618"/>
                <w:sz w:val="19"/>
              </w:rPr>
              <w:t>Nota: los valores descritos reflejan el comportamiento implementado. La latencia final también depende del GPS, la cobertura y los servicios externos.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color w:val="081618"/>
          <w:sz w:val="22"/>
        </w:rPr>
        <w:t>Esta carpeta reúne la documentación preparada para presentar, operar, desplegar y entregar el sistema de transporte corporativo.</w:t>
      </w:r>
    </w:p>
    <w:p>
      <w:r>
        <w:rPr>
          <w:rFonts w:ascii="Calibri" w:hAnsi="Calibri"/>
          <w:color w:val="081618"/>
          <w:sz w:val="22"/>
        </w:rPr>
        <w:t>La documentación fue elaborada a partir del código y la configuración auditados el 3 de agosto de 2026. Los tiempos marcados como confirmados describen el comportamiento implementado. La experiencia final todavía depende de la cobertura GPS, la conexión de datos, el teléfono y los servicios de Google/Firebase.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Documentos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Documento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Para quién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Dossier comercial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Cliente, comprador o dirección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Qué es la solución, qué incluye, capacidades, tiempos de actualización y alcance de la venta.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Manual de operación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Operadores, conductores y pasajeros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Cómo usar cada superficie y qué hacer ante los casos habituales.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Referencia técnica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Equipo técnico o comprador de la plataforma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Arquitectura, datos, estados, endpoints, permisos e intervalos reales.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Guía de despliegue y entrega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Instalador, equipo TI y comprador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Requisitos, despliegue, publicación de apps, dashboard, pruebas y checklist de transferencia.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Versiones Word</w:t>
      </w:r>
    </w:p>
    <w:p>
      <w:r>
        <w:rPr>
          <w:rFonts w:ascii="Calibri" w:hAnsi="Calibri"/>
          <w:color w:val="081618"/>
          <w:sz w:val="22"/>
        </w:rPr>
        <w:t xml:space="preserve">Las mismas piezas están disponibles en formato </w:t>
      </w:r>
      <w:r>
        <w:rPr>
          <w:rFonts w:ascii="Consolas" w:hAnsi="Consolas"/>
          <w:color w:val="081618"/>
          <w:sz w:val="20"/>
        </w:rPr>
        <w:t>.docx</w:t>
      </w:r>
      <w:r>
        <w:rPr>
          <w:rFonts w:ascii="Calibri" w:hAnsi="Calibri"/>
          <w:color w:val="081618"/>
          <w:sz w:val="22"/>
        </w:rPr>
        <w:t xml:space="preserve"> para enviarlas al cliente o incorporarlas al expediente de venta: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Índice de documentación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Dossier comercial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Manual de operación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Referencia técnica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Guía de despliegue y entrega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Resumen de la solución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App de pasajeros para registrar usuarios, elegir origen y destino, pedir viajes inmediatos o programados, ver el vehículo asignado y consultar el historial.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App de conductores para registrarse, cargar documentos, esperar aprobación, iniciar turno, enviar GPS en segundo plano y ejecutar el viaje por etapas.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Dashboard web para monitorear la flota sobre Mapbox, revisar conductores, administrar lugares, consultar historial, asignar sedes, gestionar usuarios y publicar actualizaciones.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Backend serverless sobre Firebase Realtime Database, Firebase Authentication, Firebase Storage, Cloud Functions y Firebase Cloud Messaging.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Datos que no deben copiarse a un documento comercial</w:t>
      </w:r>
    </w:p>
    <w:p>
      <w:r>
        <w:rPr>
          <w:rFonts w:ascii="Calibri" w:hAnsi="Calibri"/>
          <w:color w:val="081618"/>
          <w:sz w:val="22"/>
        </w:rPr>
        <w:t xml:space="preserve">Las claves de Firebase/Mapbox, tokens, contraseñas, teléfonos internos, correos administrativos, llaves de firma, archivos </w:t>
      </w:r>
      <w:r>
        <w:rPr>
          <w:rFonts w:ascii="Consolas" w:hAnsi="Consolas"/>
          <w:color w:val="081618"/>
          <w:sz w:val="20"/>
        </w:rPr>
        <w:t>google-services.json</w:t>
      </w:r>
      <w:r>
        <w:rPr>
          <w:rFonts w:ascii="Calibri" w:hAnsi="Calibri"/>
          <w:color w:val="081618"/>
          <w:sz w:val="22"/>
        </w:rPr>
        <w:t xml:space="preserve"> y URLs firmadas deben entregarse por un canal seguro y separado. Los documentos públicos usan marcadores como </w:t>
      </w:r>
      <w:r>
        <w:rPr>
          <w:rFonts w:ascii="Consolas" w:hAnsi="Consolas"/>
          <w:color w:val="081618"/>
          <w:sz w:val="20"/>
        </w:rPr>
        <w:t>&lt;FIREBASE_PROJECT_ID&gt;</w:t>
      </w:r>
      <w:r>
        <w:rPr>
          <w:rFonts w:ascii="Calibri" w:hAnsi="Calibri"/>
          <w:color w:val="081618"/>
          <w:sz w:val="22"/>
        </w:rPr>
        <w:t xml:space="preserve"> o </w:t>
      </w:r>
      <w:r>
        <w:rPr>
          <w:rFonts w:ascii="Consolas" w:hAnsi="Consolas"/>
          <w:color w:val="081618"/>
          <w:sz w:val="20"/>
        </w:rPr>
        <w:t>[URL_DEL_DASHBOARD]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Pendientes antes de una entrega productiva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Rotar y restringir las claves que hoy aparecen en archivos de configuración del repositorio.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Restringir la lectura de </w:t>
      </w:r>
      <w:r>
        <w:rPr>
          <w:rFonts w:ascii="Consolas" w:hAnsi="Consolas"/>
          <w:color w:val="081618"/>
          <w:sz w:val="20"/>
        </w:rPr>
        <w:t>/drivers</w:t>
      </w:r>
      <w:r>
        <w:rPr>
          <w:rFonts w:ascii="Calibri" w:hAnsi="Calibri"/>
          <w:color w:val="081618"/>
          <w:sz w:val="22"/>
        </w:rPr>
        <w:t xml:space="preserve"> a operadores autorizados antes de usar datos reales.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Servir el dashboard detrás de HTTPS y controlar el acceso al servidor.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Reemplazar la firma de Android basada en una llave de desarrollo por una keystore del propietario.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Migrar Cloud Functions de Node.js 20 a Node.js 22 antes del 30 de octubre de 2026, según la nota existente en el proyecto.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Ejecutar la prueba de aceptación del checklist de entrega con teléfonos físicos y una flota representativa.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86A"/>
        <w:sz w:val="17"/>
      </w:rPr>
      <w:t xml:space="preserve">Documento de entrega  | 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86A"/>
        <w:sz w:val="17"/>
      </w:rPr>
      <w:t>APL Logistic  |  Documentación de la solución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816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16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16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B686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720" w:hanging="360"/>
      <w:contextualSpacing/>
    </w:pPr>
    <w:rPr>
      <w:rFonts w:ascii="Calibri" w:hAnsi="Calibri"/>
      <w:color w:val="08161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720" w:hanging="360"/>
      <w:contextualSpacing/>
    </w:pPr>
    <w:rPr>
      <w:rFonts w:ascii="Calibri" w:hAnsi="Calibri"/>
      <w:color w:val="08161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16" w:right="216"/>
    </w:pPr>
    <w:rPr>
      <w:rFonts w:ascii="Consolas" w:hAnsi="Consolas"/>
      <w:color w:val="081618"/>
      <w:sz w:val="18"/>
    </w:rPr>
  </w:style>
  <w:style w:type="paragraph" w:customStyle="1" w:styleId="Callout">
    <w:name w:val="Callout"/>
    <w:pPr>
      <w:spacing w:before="120" w:after="160" w:line="276" w:lineRule="auto"/>
      <w:ind w:left="216" w:right="216"/>
    </w:pPr>
    <w:rPr>
      <w:rFonts w:ascii="Calibri" w:hAnsi="Calibri"/>
      <w:color w:val="08161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documentación</dc:title>
  <dc:subject>Mapa de lectura, alcance y pendientes de entrega</dc:subject>
  <dc:creator>APL Logistic</dc:creator>
  <cp:keywords>fleet tracking, fleet operations, documentation</cp:keywords>
  <dc:description>Prepared from the audited project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