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enEspaol"/>
        <w:numPr>
          <w:ilvl w:val="0"/>
          <w:numId w:val="0"/>
        </w:numPr>
        <w:spacing w:before="0" w:after="0"/>
        <w:ind w:hanging="0"/>
        <w:outlineLvl w:val="0"/>
        <w:rPr/>
      </w:pPr>
      <w:bookmarkStart w:id="0" w:name="_Hlk154573619"/>
      <w:r>
        <w:rPr/>
        <w:t xml:space="preserve">INTELIGENCIA ARTIFICIAL EN LA CLASIFICACIÓN DE lesiones cutáneas </w:t>
      </w:r>
      <w:bookmarkEnd w:id="0"/>
    </w:p>
    <w:p>
      <w:pPr>
        <w:pStyle w:val="Datosautores"/>
        <w:spacing w:before="0" w:after="0"/>
        <w:rPr>
          <w:b/>
          <w:bCs/>
          <w:sz w:val="28"/>
          <w:szCs w:val="28"/>
          <w:lang w:val="en-US"/>
        </w:rPr>
      </w:pPr>
      <w:r>
        <w:rPr>
          <w:b/>
          <w:bCs/>
          <w:sz w:val="28"/>
          <w:szCs w:val="28"/>
          <w:lang w:val="en-US"/>
        </w:rPr>
        <w:t xml:space="preserve">Artificial intelligence in the classification of skin lesions </w:t>
      </w:r>
    </w:p>
    <w:p>
      <w:pPr>
        <w:pStyle w:val="Datosautores"/>
        <w:spacing w:before="0" w:after="0"/>
        <w:rPr>
          <w:b/>
          <w:bCs/>
          <w:sz w:val="28"/>
          <w:szCs w:val="28"/>
          <w:lang w:val="en-US"/>
        </w:rPr>
      </w:pPr>
      <w:r>
        <w:rPr>
          <w:b/>
          <w:bCs/>
          <w:sz w:val="28"/>
          <w:szCs w:val="28"/>
          <w:lang w:val="en-US"/>
        </w:rPr>
      </w:r>
    </w:p>
    <w:p>
      <w:pPr>
        <w:pStyle w:val="Nombresautores"/>
        <w:spacing w:before="0" w:after="0"/>
        <w:rPr>
          <w:szCs w:val="22"/>
          <w:vertAlign w:val="superscript"/>
        </w:rPr>
      </w:pPr>
      <w:r>
        <w:rPr>
          <w:szCs w:val="22"/>
        </w:rPr>
        <w:t>Jordan Plá González</w:t>
      </w:r>
      <w:r>
        <w:rPr>
          <w:szCs w:val="22"/>
          <w:vertAlign w:val="superscript"/>
        </w:rPr>
        <w:t>1</w:t>
      </w:r>
      <w:r>
        <w:rPr>
          <w:szCs w:val="22"/>
        </w:rPr>
        <w:t>, Manuel Vilas Valiente</w:t>
      </w:r>
      <w:r>
        <w:rPr>
          <w:szCs w:val="22"/>
          <w:vertAlign w:val="superscript"/>
        </w:rPr>
        <w:t>2</w:t>
      </w:r>
      <w:r>
        <w:rPr>
          <w:szCs w:val="22"/>
        </w:rPr>
        <w:t>, Marcos A. Valdivié Rodríguez</w:t>
      </w:r>
      <w:r>
        <w:rPr>
          <w:szCs w:val="22"/>
          <w:vertAlign w:val="superscript"/>
        </w:rPr>
        <w:t>3</w:t>
      </w:r>
      <w:r>
        <w:rPr>
          <w:szCs w:val="22"/>
        </w:rPr>
        <w:t>, Claudia Olavarrieta Martínez</w:t>
      </w:r>
      <w:r>
        <w:rPr>
          <w:szCs w:val="22"/>
          <w:vertAlign w:val="superscript"/>
        </w:rPr>
        <w:t>4</w:t>
      </w:r>
      <w:r>
        <w:rPr>
          <w:szCs w:val="22"/>
        </w:rPr>
        <w:t>, Rigoberto García Gómez</w:t>
      </w:r>
      <w:r>
        <w:rPr>
          <w:szCs w:val="22"/>
          <w:vertAlign w:val="superscript"/>
        </w:rPr>
        <w:t>5</w:t>
      </w:r>
      <w:r>
        <w:rPr>
          <w:szCs w:val="22"/>
        </w:rPr>
        <w:t>, Rocío Ortiz Gancedo</w:t>
      </w:r>
      <w:r>
        <w:rPr>
          <w:szCs w:val="22"/>
          <w:vertAlign w:val="superscript"/>
        </w:rPr>
        <w:t>6</w:t>
      </w:r>
      <w:r>
        <w:rPr>
          <w:szCs w:val="22"/>
        </w:rPr>
        <w:t>, Marta L. Baguer Díaz-Romañach</w:t>
      </w:r>
      <w:r>
        <w:rPr>
          <w:szCs w:val="22"/>
          <w:vertAlign w:val="superscript"/>
        </w:rPr>
        <w:t>7</w:t>
      </w:r>
    </w:p>
    <w:p>
      <w:pPr>
        <w:pStyle w:val="Datosautores"/>
        <w:rPr/>
      </w:pPr>
      <w:r>
        <w:rPr/>
      </w:r>
    </w:p>
    <w:p>
      <w:pPr>
        <w:pStyle w:val="Datosautores"/>
        <w:spacing w:before="0" w:after="0"/>
        <w:ind w:left="360"/>
        <w:rPr>
          <w:color w:val="FF0000"/>
        </w:rPr>
      </w:pPr>
      <w:r>
        <w:rPr/>
        <w:t xml:space="preserve">1 Universidad de La Habana, Cuba, </w:t>
      </w:r>
      <w:hyperlink r:id="rId2">
        <w:r>
          <w:rPr>
            <w:rStyle w:val="Hyperlink"/>
          </w:rPr>
          <w:t>jordanpg41@gmail.com</w:t>
        </w:r>
      </w:hyperlink>
      <w:r>
        <w:rPr/>
        <w:t xml:space="preserve">  </w:t>
      </w:r>
    </w:p>
    <w:p>
      <w:pPr>
        <w:pStyle w:val="Datosautores"/>
        <w:spacing w:before="0" w:after="0"/>
        <w:ind w:left="360"/>
        <w:rPr/>
      </w:pPr>
      <w:r>
        <w:rPr/>
        <w:t xml:space="preserve">2 Universidad de La Habana, Cuba, </w:t>
      </w:r>
      <w:hyperlink r:id="rId3">
        <w:r>
          <w:rPr>
            <w:rStyle w:val="Hyperlink"/>
          </w:rPr>
          <w:t>mvilasvaliente@gmail.com</w:t>
        </w:r>
      </w:hyperlink>
    </w:p>
    <w:p>
      <w:pPr>
        <w:pStyle w:val="Datosautores"/>
        <w:spacing w:before="0" w:after="0"/>
        <w:ind w:left="360"/>
        <w:rPr/>
      </w:pPr>
      <w:r>
        <w:rPr/>
        <w:t xml:space="preserve">3 Universidad de La Habana, Cuba, </w:t>
      </w:r>
      <w:hyperlink r:id="rId4">
        <w:r>
          <w:rPr>
            <w:rStyle w:val="Hyperlink"/>
          </w:rPr>
          <w:t>mvaldivie98@gmail.com</w:t>
        </w:r>
      </w:hyperlink>
    </w:p>
    <w:p>
      <w:pPr>
        <w:pStyle w:val="Datosautores"/>
        <w:spacing w:before="0" w:after="0"/>
        <w:ind w:left="360"/>
        <w:rPr>
          <w:rStyle w:val="Hyperlink"/>
        </w:rPr>
      </w:pPr>
      <w:r>
        <w:rPr/>
        <w:t xml:space="preserve">4 Universidad de La Habana, Cuba, </w:t>
      </w:r>
      <w:hyperlink r:id="rId5">
        <w:r>
          <w:rPr>
            <w:rStyle w:val="Hyperlink"/>
          </w:rPr>
          <w:t>claudiaomtnez@gmail.com</w:t>
        </w:r>
      </w:hyperlink>
    </w:p>
    <w:p>
      <w:pPr>
        <w:pStyle w:val="Datosautores"/>
        <w:spacing w:before="0" w:after="0"/>
        <w:ind w:left="360"/>
        <w:rPr/>
      </w:pPr>
      <w:r>
        <w:rPr/>
        <w:t xml:space="preserve">5 Grupo Nacional de Dermatología, Cuba, </w:t>
      </w:r>
      <w:hyperlink r:id="rId6">
        <w:r>
          <w:rPr>
            <w:rStyle w:val="Hyperlink"/>
            <w:rFonts w:ascii="Roboto" w:hAnsi="Roboto"/>
            <w:szCs w:val="18"/>
            <w:shd w:fill="FFFFFF" w:val="clear"/>
          </w:rPr>
          <w:t>rigobertodermatologo@yahoo.es</w:t>
        </w:r>
      </w:hyperlink>
      <w:r>
        <w:rPr/>
        <w:t xml:space="preserve"> </w:t>
      </w:r>
    </w:p>
    <w:p>
      <w:pPr>
        <w:pStyle w:val="Datosautores"/>
        <w:spacing w:before="0" w:after="0"/>
        <w:ind w:left="360"/>
        <w:rPr/>
      </w:pPr>
      <w:r>
        <w:rPr/>
        <w:t xml:space="preserve">6 Universidad de La Habana, Cuba, </w:t>
      </w:r>
      <w:hyperlink r:id="rId7">
        <w:r>
          <w:rPr>
            <w:rStyle w:val="Hyperlink"/>
          </w:rPr>
          <w:t>rocioog00@gmail.com</w:t>
        </w:r>
      </w:hyperlink>
    </w:p>
    <w:p>
      <w:pPr>
        <w:pStyle w:val="Datosautores"/>
        <w:spacing w:before="0" w:after="0"/>
        <w:ind w:left="360"/>
        <w:rPr/>
      </w:pPr>
      <w:r>
        <w:rPr/>
        <w:t xml:space="preserve">7 Universidad de La Habana, Cuba,  </w:t>
      </w:r>
      <w:hyperlink r:id="rId8">
        <w:r>
          <w:rPr>
            <w:rStyle w:val="Hyperlink"/>
          </w:rPr>
          <w:t>mlbaguer@gmail.com</w:t>
        </w:r>
      </w:hyperlink>
      <w:r>
        <w:rPr/>
        <w:t xml:space="preserve"> </w:t>
      </w:r>
    </w:p>
    <w:p>
      <w:pPr>
        <w:pStyle w:val="Datosautores"/>
        <w:spacing w:before="0" w:after="0"/>
        <w:ind w:left="360"/>
        <w:rPr/>
      </w:pPr>
      <w:r>
        <w:rPr/>
      </w:r>
    </w:p>
    <w:p>
      <w:pPr>
        <w:pStyle w:val="Normal"/>
        <w:widowControl/>
        <w:spacing w:before="0" w:after="0"/>
        <w:ind w:hanging="0"/>
        <w:rPr>
          <w:rFonts w:cs="Arial"/>
          <w:lang w:eastAsia="de-DE" w:bidi="ar-SA"/>
        </w:rPr>
      </w:pPr>
      <w:r>
        <w:rPr>
          <w:rStyle w:val="EncabezadoResumenCar"/>
          <w:rFonts w:cs="Arial"/>
        </w:rPr>
        <w:t xml:space="preserve">Resumen: </w:t>
      </w:r>
      <w:r>
        <w:rPr>
          <w:rFonts w:cs="Arial"/>
          <w:lang w:eastAsia="de-DE" w:bidi="ar-SA"/>
        </w:rPr>
        <w:t xml:space="preserve">La incidencia de casos de cáncer de piel aumenta considerablemente todos los años. Cuba no está exenta de este crecimiento siendo este tipo de cáncer el más reportado en el 2020. La detección temprana de esta enfermedad es esencial en el pronóstico favorable de los pacientes. </w:t>
      </w:r>
      <w:bookmarkStart w:id="1" w:name="_Hlk154586512"/>
      <w:r>
        <w:rPr>
          <w:rFonts w:cs="Arial"/>
          <w:lang w:eastAsia="de-DE" w:bidi="ar-SA"/>
        </w:rPr>
        <w:t>Esta detección se realiza a través de una técnica no invasiva denominada dermatoscopía, la cual permite visualizar estructuras cutáneas profundas no detectables a simple vista</w:t>
      </w:r>
      <w:bookmarkEnd w:id="1"/>
      <w:r>
        <w:rPr>
          <w:rFonts w:cs="Arial"/>
          <w:lang w:eastAsia="de-DE" w:bidi="ar-SA"/>
        </w:rPr>
        <w:t>. El diagnóstico dermatoscópico precisa de un periodo de aprendizaje y perfeccionamiento por parte del especialista en la clasificación de las lesiones, cuyos patrones resultan complicados de diferenciar. El presente trabajo aborda el problema de la clasificación desde una perspectiva cercana a los procedimientos que utilizan los dermatólogos al observar determinadas características, como, por ejemplo, en los métodos de Menzies, la regla ABCD y la Lista de los 7 puntos. Se analizan hasta ocho tipos de anomalías cutáneas. La clasificación utiliza modelos de aprendizaje automático supervisado basados en vectores de características asociadas principalmente a la apariencia de los bordes, colores y texturas. Se experimentó con un conjunto de imágenes de la Base de Datos ISIC (</w:t>
      </w:r>
      <w:r>
        <w:rPr>
          <w:rFonts w:cs="Arial"/>
          <w:i/>
          <w:iCs/>
          <w:lang w:eastAsia="de-DE" w:bidi="ar-SA"/>
        </w:rPr>
        <w:t>International Skin Imaging Collaboration</w:t>
      </w:r>
      <w:r>
        <w:rPr>
          <w:rFonts w:cs="Arial"/>
          <w:lang w:eastAsia="de-DE" w:bidi="ar-SA"/>
        </w:rPr>
        <w:t>). Se alcanzó una exactitud de 87.5% y de 88.3% en la clasificación en cuatro y ocho clases respectivamente. Este trabajo constituye un primer acercamiento a un sistema de ayuda al diagnóstico para ser usado por dermatólogos.</w:t>
      </w:r>
      <w:r>
        <w:rPr>
          <w:rFonts w:cs="Arial"/>
          <w:color w:val="FF0000"/>
          <w:lang w:eastAsia="de-DE" w:bidi="ar-SA"/>
        </w:rPr>
        <w:t xml:space="preserve"> </w:t>
      </w:r>
    </w:p>
    <w:p>
      <w:pPr>
        <w:pStyle w:val="Normal"/>
        <w:widowControl/>
        <w:spacing w:before="0" w:after="0"/>
        <w:ind w:hanging="0"/>
        <w:rPr>
          <w:rFonts w:cs="Arial"/>
          <w:lang w:eastAsia="de-DE" w:bidi="ar-SA"/>
        </w:rPr>
      </w:pPr>
      <w:r>
        <w:rPr>
          <w:rFonts w:cs="Arial"/>
          <w:lang w:eastAsia="de-DE" w:bidi="ar-SA"/>
        </w:rPr>
      </w:r>
    </w:p>
    <w:p>
      <w:pPr>
        <w:pStyle w:val="Normal"/>
        <w:ind w:hanging="0"/>
        <w:rPr>
          <w:color w:val="FF0000"/>
        </w:rPr>
      </w:pPr>
      <w:r>
        <w:rPr>
          <w:rStyle w:val="PalabrasClaveCar"/>
        </w:rPr>
        <w:t>Palabras Clave:</w:t>
      </w:r>
      <w:r>
        <w:rPr/>
        <w:t xml:space="preserve"> dermatoscopía, clasificación supervisada, vector de características, procesamiento de imágenes</w:t>
      </w:r>
    </w:p>
    <w:p>
      <w:pPr>
        <w:pStyle w:val="Normal"/>
        <w:spacing w:before="0" w:after="0"/>
        <w:ind w:hanging="0"/>
        <w:rPr/>
      </w:pPr>
      <w:r>
        <w:rPr/>
      </w:r>
    </w:p>
    <w:p>
      <w:pPr>
        <w:pStyle w:val="Normal"/>
        <w:widowControl/>
        <w:spacing w:before="0" w:after="0"/>
        <w:ind w:hanging="0"/>
        <w:rPr>
          <w:rStyle w:val="ResumenCar"/>
          <w:rFonts w:cs="Arial"/>
          <w:i w:val="false"/>
          <w:i w:val="false"/>
          <w:lang w:val="en-US" w:eastAsia="de-DE" w:bidi="ar-SA"/>
        </w:rPr>
      </w:pPr>
      <w:r>
        <w:rPr>
          <w:b/>
          <w:bCs/>
          <w:sz w:val="22"/>
          <w:szCs w:val="22"/>
          <w:lang w:val="en-US"/>
        </w:rPr>
        <w:t>ABSTRACT:</w:t>
      </w:r>
      <w:r>
        <w:rPr>
          <w:sz w:val="22"/>
          <w:szCs w:val="22"/>
          <w:lang w:val="en-US"/>
        </w:rPr>
        <w:t xml:space="preserve"> </w:t>
      </w:r>
      <w:r>
        <w:rPr>
          <w:rFonts w:cs="Arial"/>
          <w:lang w:val="en-US" w:eastAsia="de-DE" w:bidi="ar-SA"/>
        </w:rPr>
        <w:t>There is a yearly increase of skin cancer cases. In the case of Cuba, this was the most reported cancer in 2020. The early detection of this condition influences the positive evolution of patients. Dermatoscopy is a non-invasive technique used for the early detection of deep cutaneous structures not detectable with the naked eye. Dermatoscopic diagnosis requires the specialist to learn and perfect the classification of the lesions based on hard-to-classify visual patterns.  This paper approaches the problem of classification from a perspective close to the procedures used by dermatologists when observing certain features, for example, in the methods of Menzies, the ABCD rule and the 7-point list. Up to eight types of skin anomalies are analyzed. The classification uses supervised machine learning models based on feature vectors mainly associated with the appearance of edges, colors and textures. We used a set of images from the ISIC (International Skin Imaging Collaboration) database. An accuracy of 87.5% and 88.3% was achieved in the classification into four and eight classes respectively. This work constitutes a first approach to a diagnostic aid system to be used by dermatologists.</w:t>
      </w:r>
    </w:p>
    <w:p>
      <w:pPr>
        <w:pStyle w:val="Normal"/>
        <w:ind w:hanging="0"/>
        <w:rPr>
          <w:rStyle w:val="PalabrasClaveCar"/>
          <w:lang w:val="en-US"/>
        </w:rPr>
      </w:pPr>
      <w:r>
        <w:rPr>
          <w:lang w:val="en-US"/>
        </w:rPr>
      </w:r>
    </w:p>
    <w:p>
      <w:pPr>
        <w:pStyle w:val="Normal"/>
        <w:ind w:hanging="720" w:left="720"/>
        <w:rPr>
          <w:rStyle w:val="PalabrasClaveCar"/>
          <w:b w:val="false"/>
          <w:bCs/>
          <w:u w:val="none"/>
          <w:lang w:val="en-US"/>
        </w:rPr>
      </w:pPr>
      <w:r>
        <w:rPr>
          <w:rStyle w:val="PalabrasClaveCar"/>
          <w:lang w:val="en-US"/>
        </w:rPr>
        <w:t>Keywords:</w:t>
      </w:r>
      <w:r>
        <w:rPr>
          <w:rStyle w:val="PalabrasClaveCar"/>
          <w:u w:val="none"/>
          <w:lang w:val="en-US"/>
        </w:rPr>
        <w:t xml:space="preserve"> </w:t>
      </w:r>
      <w:r>
        <w:rPr>
          <w:rStyle w:val="PalabrasClaveCar"/>
          <w:b w:val="false"/>
          <w:bCs/>
          <w:u w:val="none"/>
          <w:lang w:val="en-US"/>
        </w:rPr>
        <w:t>dermatoscopy, supervised classification, feature vector, image processing</w:t>
      </w:r>
    </w:p>
    <w:p>
      <w:pPr>
        <w:pStyle w:val="Normal"/>
        <w:ind w:hanging="0"/>
        <w:rPr>
          <w:rStyle w:val="PalabrasClaveCar"/>
          <w:b w:val="false"/>
          <w:bCs/>
          <w:u w:val="none"/>
          <w:lang w:val="en-US"/>
        </w:rPr>
      </w:pPr>
      <w:r>
        <w:rPr>
          <w:b w:val="false"/>
          <w:bCs/>
          <w:u w:val="none"/>
          <w:lang w:val="en-US"/>
        </w:rPr>
      </w:r>
    </w:p>
    <w:p>
      <w:pPr>
        <w:pStyle w:val="Normal"/>
        <w:ind w:hanging="0"/>
        <w:rPr>
          <w:b/>
          <w:bCs/>
          <w:i/>
          <w:i/>
          <w:lang w:val="en-US"/>
        </w:rPr>
      </w:pPr>
      <w:r>
        <w:rPr>
          <w:b/>
          <w:bCs/>
          <w:i/>
          <w:lang w:val="en-US"/>
        </w:rPr>
      </w:r>
    </w:p>
    <w:p>
      <w:pPr>
        <w:pStyle w:val="Normal"/>
        <w:ind w:hanging="0"/>
        <w:rPr>
          <w:lang w:val="en-US"/>
        </w:rPr>
      </w:pPr>
      <w:r>
        <w:rPr>
          <w:lang w:val="en-US"/>
        </w:rPr>
      </w:r>
    </w:p>
    <w:p>
      <w:pPr>
        <w:sectPr>
          <w:headerReference w:type="default" r:id="rId9"/>
          <w:footerReference w:type="default" r:id="rId10"/>
          <w:type w:val="nextPage"/>
          <w:pgSz w:w="12240" w:h="15840"/>
          <w:pgMar w:left="1134" w:right="1134" w:gutter="0" w:header="360" w:top="1794" w:footer="720" w:bottom="1134"/>
          <w:pgNumType w:fmt="decimal"/>
          <w:formProt w:val="false"/>
          <w:textDirection w:val="lrTb"/>
          <w:docGrid w:type="default" w:linePitch="326" w:charSpace="8192"/>
        </w:sectPr>
      </w:pPr>
    </w:p>
    <w:p>
      <w:pPr>
        <w:pStyle w:val="ENCABEZADONIVEL1"/>
        <w:numPr>
          <w:ilvl w:val="0"/>
          <w:numId w:val="4"/>
        </w:numPr>
        <w:tabs>
          <w:tab w:val="clear" w:pos="720"/>
          <w:tab w:val="left" w:pos="284" w:leader="none"/>
        </w:tabs>
        <w:spacing w:before="60" w:after="0"/>
        <w:ind w:firstLine="142" w:left="0"/>
        <w:rPr>
          <w:color w:val="FF0000"/>
        </w:rPr>
      </w:pPr>
      <w:r>
        <w:rPr>
          <w:rStyle w:val="EncabezadoResumenCar"/>
          <w:b/>
          <w:lang w:val="en-US"/>
        </w:rPr>
        <w:t>INTRODUCCIÓN</w:t>
      </w:r>
      <w:r>
        <w:rPr/>
        <w:t xml:space="preserve"> </w:t>
      </w:r>
    </w:p>
    <w:p>
      <w:pPr>
        <w:sectPr>
          <w:type w:val="continuous"/>
          <w:pgSz w:w="12240" w:h="15840"/>
          <w:pgMar w:left="1134" w:right="1134" w:gutter="0" w:header="360" w:top="1794" w:footer="720" w:bottom="1134"/>
          <w:cols w:num="2" w:space="708" w:equalWidth="true" w:sep="false"/>
          <w:formProt w:val="false"/>
          <w:textDirection w:val="lrTb"/>
          <w:docGrid w:type="default" w:linePitch="326" w:charSpace="8192"/>
        </w:sect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t xml:space="preserve">El cáncer de piel, caracterizado por el crecimiento descontrolado de células cutáneas anormales es una preocupación global debido a su alta incidencia y riesgo. En el caso específico de Cuba, la Organización mundial de la Salud reportó 9761 casos y </w:t>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t>514 muertes en el 2020, colocándolo en el puesto 63 a nivel mundial en términos de mortalidad por esta condición [1].</w:t>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t>La mayoría de casos en pacientes con cáncer de piel pueden recuperarse con diagnóstico y tratamiento tempranos [2]. Sin embargo, el diagnóstico temprano resulta complejo dada la existencia de múltiples subtipos y la diversidad en sus manifestaciones clínicas [3].</w:t>
      </w:r>
      <w:r>
        <w:rPr>
          <w:sz w:val="20"/>
          <w:szCs w:val="20"/>
        </w:rPr>
        <w:t xml:space="preserve"> </w:t>
      </w:r>
      <w:r>
        <w:rPr>
          <w:b w:val="false"/>
          <w:bCs/>
          <w:caps w:val="false"/>
          <w:smallCaps w:val="false"/>
          <w:sz w:val="20"/>
          <w:szCs w:val="20"/>
        </w:rPr>
        <w:t>Esta detección se realiza a través de una técnica no invasiva denominada dermatoscopía, la cual permite visualizar estructuras cutáneas profundas no detectables a simple vista.</w:t>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t>La aplicación de modelos de Inteligencia Artificial (IA) ha surgido como una prometedora herramienta para el diagnóstico a través de modelos basados en algoritmos de aprendizaje automático (</w:t>
      </w:r>
      <w:r>
        <w:rPr>
          <w:b w:val="false"/>
          <w:bCs/>
          <w:i/>
          <w:iCs/>
          <w:caps w:val="false"/>
          <w:smallCaps w:val="false"/>
          <w:sz w:val="20"/>
          <w:szCs w:val="20"/>
        </w:rPr>
        <w:t>machine learning</w:t>
      </w:r>
      <w:r>
        <w:rPr>
          <w:b w:val="false"/>
          <w:bCs/>
          <w:caps w:val="false"/>
          <w:smallCaps w:val="false"/>
          <w:sz w:val="20"/>
          <w:szCs w:val="20"/>
        </w:rPr>
        <w:t>) en el análisis de imágenes médicas. El presente trabajo busca emplear dichos algoritmos para proporcionar una clasificación precisa de las lesiones cutáneas en imágenes dermatoscópicas.</w:t>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t xml:space="preserve">Para lograr este objetivo, los autores (1) compendiaron los criterios dermatológicos en la clasificación de lesiones cutáneas, (2) </w:t>
      </w:r>
      <w:bookmarkStart w:id="2" w:name="_Hlk154589634"/>
      <w:r>
        <w:rPr>
          <w:b w:val="false"/>
          <w:bCs/>
          <w:caps w:val="false"/>
          <w:smallCaps w:val="false"/>
          <w:sz w:val="20"/>
          <w:szCs w:val="20"/>
        </w:rPr>
        <w:t>procesaron, equilibraron y estandarizaron las imágenes de las bases de datos</w:t>
      </w:r>
      <w:bookmarkEnd w:id="2"/>
      <w:r>
        <w:rPr>
          <w:b w:val="false"/>
          <w:bCs/>
          <w:caps w:val="false"/>
          <w:smallCaps w:val="false"/>
          <w:sz w:val="20"/>
          <w:szCs w:val="20"/>
        </w:rPr>
        <w:t xml:space="preserve"> y (3) evaluaron y analizaron los diferentes modelos en las distintas fases de resolución.</w:t>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t xml:space="preserve">La dermatoscopía es una herramienta de diagnóstico no invasiva que se utiliza en la dermatología para examinar en mayor magnitud las lesiones por debajo de la superficie cutánea. Implica el uso de un instrumento óptico conocido como dermatoscopio, que amplifica </w:t>
      </w:r>
      <w:r>
        <w:rPr>
          <w:b w:val="false"/>
          <w:bCs/>
          <w:i/>
          <w:iCs/>
          <w:caps w:val="false"/>
          <w:smallCaps w:val="false"/>
          <w:sz w:val="20"/>
          <w:szCs w:val="20"/>
        </w:rPr>
        <w:t>in-vivo</w:t>
      </w:r>
      <w:r>
        <w:rPr>
          <w:b w:val="false"/>
          <w:bCs/>
          <w:caps w:val="false"/>
          <w:smallCaps w:val="false"/>
          <w:sz w:val="20"/>
          <w:szCs w:val="20"/>
        </w:rPr>
        <w:t xml:space="preserve"> la imagen de la lesión sospechosa, una vez eliminados los fenómenos de refracción y reflexión de la luz sobre la piel [4 - 5]. Esta técnica mejora la precisión en el diagnóstico al proporcionar una imagen amplia y detallada de la piel que permite identificar los signos distintivos que diferencian una lesión maligna de una benigna [6].</w:t>
      </w:r>
    </w:p>
    <w:p>
      <w:pPr>
        <w:pStyle w:val="ENCABEZADONIVEL1"/>
        <w:numPr>
          <w:ilvl w:val="0"/>
          <w:numId w:val="0"/>
        </w:numPr>
        <w:tabs>
          <w:tab w:val="clear" w:pos="720"/>
          <w:tab w:val="left" w:pos="284" w:leader="none"/>
        </w:tabs>
        <w:spacing w:before="60" w:after="0"/>
        <w:ind w:hanging="0" w:left="0"/>
        <w:rPr>
          <w:b w:val="false"/>
          <w:bCs/>
          <w:caps w:val="false"/>
          <w:smallCaps w:val="false"/>
          <w:sz w:val="20"/>
          <w:szCs w:val="20"/>
        </w:rPr>
      </w:pPr>
      <w:r>
        <w:rPr>
          <w:b w:val="false"/>
          <w:bCs/>
          <w:caps w:val="false"/>
          <w:smallCaps w:val="false"/>
          <w:sz w:val="20"/>
          <w:szCs w:val="20"/>
        </w:rPr>
        <w:t>Una vez ampliada la imagen de la lesión, se aplican los criterios de diagnóstico para su clasificación. La regla ABCD (Asimetría, Bordes, Color, Diferencias estructurales) o método de Stolz[7], la lista de 7 puntos de Argenziano[8], método de Menzies[9], y el método de análisis de patrones[10], se emplean para la clasificación de imágenes con posibles signos de malignidad. Estos criterios se emplearon en la selección de las características que influyen la competencia del modelo para identificar patrones y relaciones sobre estas.</w:t>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t>Una dificultad que presenta el análisis de las imágenes dermatoscópicas es la presencia de artefactos, tales como burbujas de contacto, reflejos de luz, vellos, etcétera; que entorpecen la automatización del diagnóstico. Por tanto, un reto del presente trabajo es procesar, equilibrar y estandarizar las imágenes de las bases de datos, para minimizar los sesgos del modelo, pero conservar la estructura y esencia de las lesiones. El procesamiento de las imágenes comprendió el ajuste del tamaño, aplicación de filtro uniforme, extracción de vellos y la segmentación de la región de interés (ROI). Se utilizó una matriz de confusión para valorar las métricas que se emplearon en la evaluación del modelo. Estás métricas fueron exactitud (</w:t>
      </w:r>
      <w:r>
        <w:rPr>
          <w:b w:val="false"/>
          <w:bCs/>
          <w:i/>
          <w:iCs/>
          <w:caps w:val="false"/>
          <w:smallCaps w:val="false"/>
          <w:sz w:val="20"/>
          <w:szCs w:val="20"/>
        </w:rPr>
        <w:t>accuracy</w:t>
      </w:r>
      <w:r>
        <w:rPr>
          <w:b w:val="false"/>
          <w:bCs/>
          <w:caps w:val="false"/>
          <w:smallCaps w:val="false"/>
          <w:sz w:val="20"/>
          <w:szCs w:val="20"/>
        </w:rPr>
        <w:t>), precisión, sensibilidad/recobrado (</w:t>
      </w:r>
      <w:r>
        <w:rPr>
          <w:b w:val="false"/>
          <w:bCs/>
          <w:i/>
          <w:iCs/>
          <w:caps w:val="false"/>
          <w:smallCaps w:val="false"/>
          <w:sz w:val="20"/>
          <w:szCs w:val="20"/>
        </w:rPr>
        <w:t>recall</w:t>
      </w:r>
      <w:r>
        <w:rPr>
          <w:b w:val="false"/>
          <w:bCs/>
          <w:caps w:val="false"/>
          <w:smallCaps w:val="false"/>
          <w:sz w:val="20"/>
          <w:szCs w:val="20"/>
        </w:rPr>
        <w:t>), especificidad, curva de precisión-recobrado, F1-medida, macro-media (</w:t>
      </w:r>
      <w:r>
        <w:rPr>
          <w:b w:val="false"/>
          <w:bCs/>
          <w:i/>
          <w:iCs/>
          <w:caps w:val="false"/>
          <w:smallCaps w:val="false"/>
          <w:sz w:val="20"/>
          <w:szCs w:val="20"/>
        </w:rPr>
        <w:t>macro-average</w:t>
      </w:r>
      <w:r>
        <w:rPr>
          <w:b w:val="false"/>
          <w:bCs/>
          <w:caps w:val="false"/>
          <w:smallCaps w:val="false"/>
          <w:sz w:val="20"/>
          <w:szCs w:val="20"/>
        </w:rPr>
        <w:t>), y curva ROC (</w:t>
      </w:r>
      <w:r>
        <w:rPr>
          <w:b w:val="false"/>
          <w:bCs/>
          <w:i/>
          <w:iCs/>
          <w:caps w:val="false"/>
          <w:smallCaps w:val="false"/>
          <w:sz w:val="20"/>
          <w:szCs w:val="20"/>
        </w:rPr>
        <w:t>Receiver Operating Characteristic</w:t>
      </w:r>
      <w:r>
        <w:rPr>
          <w:b w:val="false"/>
          <w:bCs/>
          <w:caps w:val="false"/>
          <w:smallCaps w:val="false"/>
          <w:sz w:val="20"/>
          <w:szCs w:val="20"/>
        </w:rPr>
        <w:t>).</w:t>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t>La implementación se realizó a través de modelos basados en algoritmos de clasificación supervisada.</w:t>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r>
    </w:p>
    <w:p>
      <w:pPr>
        <w:pStyle w:val="ENCABEZADONIVEL1"/>
        <w:numPr>
          <w:ilvl w:val="0"/>
          <w:numId w:val="4"/>
        </w:numPr>
        <w:spacing w:before="60" w:after="0"/>
        <w:ind w:hanging="0" w:left="0"/>
        <w:rPr>
          <w:color w:val="FF0000"/>
        </w:rPr>
      </w:pPr>
      <w:r>
        <w:rPr/>
        <w:t>contenido</w:t>
      </w:r>
    </w:p>
    <w:p>
      <w:pPr>
        <w:pStyle w:val="ENCABEZADONIVEL1"/>
        <w:numPr>
          <w:ilvl w:val="1"/>
          <w:numId w:val="9"/>
        </w:numPr>
        <w:spacing w:before="60" w:after="0"/>
        <w:ind w:hanging="0" w:left="0"/>
        <w:rPr>
          <w:color w:val="FF0000"/>
        </w:rPr>
      </w:pPr>
      <w:r>
        <w:rPr/>
        <w:t>m</w:t>
      </w:r>
      <w:r>
        <w:rPr>
          <w:caps w:val="false"/>
          <w:smallCaps w:val="false"/>
        </w:rPr>
        <w:t>ateriales y métodos</w:t>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t>Para asegurar la reproducibilidad de los resultados presentados en esta investigación, el código fuente fue compartido en Github (</w:t>
      </w:r>
      <w:hyperlink r:id="rId11">
        <w:r>
          <w:rPr>
            <w:rStyle w:val="Hyperlink"/>
            <w:b w:val="false"/>
            <w:bCs/>
            <w:caps w:val="false"/>
            <w:smallCaps w:val="false"/>
            <w:sz w:val="20"/>
            <w:szCs w:val="20"/>
          </w:rPr>
          <w:t>https://github.com/jordipynb/feaskles_diagnosis</w:t>
        </w:r>
      </w:hyperlink>
      <w:r>
        <w:rPr>
          <w:b w:val="false"/>
          <w:bCs/>
          <w:caps w:val="false"/>
          <w:smallCaps w:val="false"/>
          <w:sz w:val="20"/>
          <w:szCs w:val="20"/>
        </w:rPr>
        <w:t>)</w:t>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t xml:space="preserve">Se empleó Python 3 como lenguaje de programación en un sistema operativo de 64 bits, en entorno Windows. Se emplearon diversas bibliotecas especializadas, entre las cuales se incluyen Numpy, Scipy, Scikit, Opencv, XGBoost, LightGBM, Pandas, Matplotlib, Seaborn y Joblib. Los experimentos fueron ejecutados en un equipo con un procesador Intel(R) Core(TM) i7-8750H de 8ª generación a 2.20GHz, acompañado de 16 GB de RAM y una tarjeta gráfica NVIDIA GeForce GTX 1060 Ti con 4 GB de memoria. </w:t>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t>Se utilizaron un conjunto de imágenes que forman parte de la Colaboración Internacional de Imágenes de Piel (</w:t>
      </w:r>
      <w:r>
        <w:rPr>
          <w:b w:val="false"/>
          <w:bCs/>
          <w:i/>
          <w:iCs/>
          <w:caps w:val="false"/>
          <w:smallCaps w:val="false"/>
          <w:sz w:val="20"/>
          <w:szCs w:val="20"/>
        </w:rPr>
        <w:t>International Skin Imaging Collaboration</w:t>
      </w:r>
      <w:r>
        <w:rPr>
          <w:b w:val="false"/>
          <w:bCs/>
          <w:caps w:val="false"/>
          <w:smallCaps w:val="false"/>
          <w:sz w:val="20"/>
          <w:szCs w:val="20"/>
        </w:rPr>
        <w:t>), Desafío ISIC 2019, de libre acceso. Especialmente se utilizaron las bases de datos PH</w:t>
      </w:r>
      <w:r>
        <w:rPr>
          <w:b w:val="false"/>
          <w:bCs/>
          <w:caps w:val="false"/>
          <w:smallCaps w:val="false"/>
          <w:sz w:val="20"/>
          <w:szCs w:val="20"/>
          <w:vertAlign w:val="superscript"/>
        </w:rPr>
        <w:t>2</w:t>
      </w:r>
      <w:r>
        <w:rPr>
          <w:b w:val="false"/>
          <w:bCs/>
          <w:caps w:val="false"/>
          <w:smallCaps w:val="false"/>
          <w:sz w:val="20"/>
          <w:szCs w:val="20"/>
        </w:rPr>
        <w:t xml:space="preserve">, asociada al Servicio de Dermatología del Hospital Pedro Hispano en Matosinhos, Portugal; y </w:t>
      </w:r>
      <w:r>
        <w:rPr>
          <w:b w:val="false"/>
          <w:bCs/>
          <w:i/>
          <w:iCs/>
          <w:caps w:val="false"/>
          <w:smallCaps w:val="false"/>
          <w:sz w:val="20"/>
          <w:szCs w:val="20"/>
        </w:rPr>
        <w:t>Human Against Machine</w:t>
      </w:r>
      <w:r>
        <w:rPr>
          <w:b w:val="false"/>
          <w:bCs/>
          <w:caps w:val="false"/>
          <w:smallCaps w:val="false"/>
          <w:sz w:val="20"/>
          <w:szCs w:val="20"/>
        </w:rPr>
        <w:t xml:space="preserve"> (HAM10000).</w:t>
      </w:r>
    </w:p>
    <w:p>
      <w:pPr>
        <w:pStyle w:val="ENCABEZADONIVEL1"/>
        <w:numPr>
          <w:ilvl w:val="0"/>
          <w:numId w:val="0"/>
        </w:numPr>
        <w:spacing w:before="60" w:after="0"/>
        <w:ind w:hanging="0" w:left="0"/>
        <w:rPr>
          <w:b w:val="false"/>
          <w:bCs/>
          <w:caps w:val="false"/>
          <w:smallCaps w:val="false"/>
          <w:color w:val="ED7D31"/>
          <w:sz w:val="20"/>
          <w:szCs w:val="20"/>
        </w:rPr>
      </w:pPr>
      <w:r>
        <w:rPr>
          <w:b w:val="false"/>
          <w:bCs/>
          <w:caps w:val="false"/>
          <w:smallCaps w:val="false"/>
          <w:sz w:val="20"/>
          <w:szCs w:val="20"/>
        </w:rPr>
        <w:t>Las ocho clases seleccionadas en ISIC fueron carcinoma basocelular (BCC), carcinoma escamocelular (SCC), dermatofibroma (DF), lesión vascular (VASC), melanoma (MEL), nevus melanocítico (NV), queratosis actínica (AK) y queratosis benigna (BKL), como lentigo solar, queratosis seborreica y queratosis liquenoide. Debido al desbalance de clases existente en la base de datos, se efectuaron técnicas de aumento de datos para hacer el entrenamiento de los modelos más uniforme (Figura 1).</w:t>
      </w:r>
      <w:r>
        <w:rPr>
          <w:b w:val="false"/>
          <w:bCs/>
          <w:caps w:val="false"/>
          <w:smallCaps w:val="false"/>
          <w:color w:val="ED7D31"/>
          <w:sz w:val="20"/>
          <w:szCs w:val="20"/>
        </w:rPr>
        <w:t xml:space="preserve"> </w:t>
      </w:r>
    </w:p>
    <w:p>
      <w:pPr>
        <w:pStyle w:val="ENCABEZADONIVEL1"/>
        <w:numPr>
          <w:ilvl w:val="0"/>
          <w:numId w:val="0"/>
        </w:numPr>
        <w:spacing w:before="60" w:after="0"/>
        <w:ind w:hanging="0" w:left="0"/>
        <w:rPr>
          <w:b w:val="false"/>
          <w:bCs/>
          <w:caps w:val="false"/>
          <w:smallCaps w:val="false"/>
          <w:color w:val="ED7D31"/>
          <w:sz w:val="20"/>
          <w:szCs w:val="20"/>
        </w:rPr>
      </w:pPr>
      <w:r>
        <w:rPr>
          <w:b w:val="false"/>
          <w:bCs/>
          <w:caps w:val="false"/>
          <w:smallCaps w:val="false"/>
          <w:color w:val="ED7D31"/>
          <w:sz w:val="20"/>
          <w:szCs w:val="20"/>
        </w:rPr>
      </w:r>
    </w:p>
    <w:p>
      <w:pPr>
        <w:pStyle w:val="ENCABEZADONIVEL1"/>
        <w:numPr>
          <w:ilvl w:val="0"/>
          <w:numId w:val="0"/>
        </w:numPr>
        <w:spacing w:before="60" w:after="0"/>
        <w:ind w:hanging="0" w:left="0"/>
        <w:rPr>
          <w:b w:val="false"/>
          <w:bCs/>
          <w:caps w:val="false"/>
          <w:smallCaps w:val="false"/>
          <w:color w:val="ED7D31"/>
          <w:sz w:val="20"/>
          <w:szCs w:val="20"/>
        </w:rPr>
      </w:pPr>
      <w:r>
        <w:rPr/>
        <w:drawing>
          <wp:inline distT="0" distB="0" distL="0" distR="0">
            <wp:extent cx="1475740" cy="1332230"/>
            <wp:effectExtent l="0" t="0" r="0" b="0"/>
            <wp:docPr id="2"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 descr=""/>
                    <pic:cNvPicPr>
                      <a:picLocks noChangeAspect="1" noChangeArrowheads="1"/>
                    </pic:cNvPicPr>
                  </pic:nvPicPr>
                  <pic:blipFill>
                    <a:blip r:embed="rId12"/>
                    <a:stretch>
                      <a:fillRect/>
                    </a:stretch>
                  </pic:blipFill>
                  <pic:spPr bwMode="auto">
                    <a:xfrm>
                      <a:off x="0" y="0"/>
                      <a:ext cx="1475740" cy="1332230"/>
                    </a:xfrm>
                    <a:prstGeom prst="rect">
                      <a:avLst/>
                    </a:prstGeom>
                  </pic:spPr>
                </pic:pic>
              </a:graphicData>
            </a:graphic>
          </wp:inline>
        </w:drawing>
      </w:r>
      <w:r>
        <w:rPr/>
        <w:drawing>
          <wp:inline distT="0" distB="0" distL="0" distR="0">
            <wp:extent cx="1461770" cy="1332230"/>
            <wp:effectExtent l="0" t="0" r="0" b="0"/>
            <wp:docPr id="3"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descr=""/>
                    <pic:cNvPicPr>
                      <a:picLocks noChangeAspect="1" noChangeArrowheads="1"/>
                    </pic:cNvPicPr>
                  </pic:nvPicPr>
                  <pic:blipFill>
                    <a:blip r:embed="rId13"/>
                    <a:stretch>
                      <a:fillRect/>
                    </a:stretch>
                  </pic:blipFill>
                  <pic:spPr bwMode="auto">
                    <a:xfrm>
                      <a:off x="0" y="0"/>
                      <a:ext cx="1461770" cy="1332230"/>
                    </a:xfrm>
                    <a:prstGeom prst="rect">
                      <a:avLst/>
                    </a:prstGeom>
                  </pic:spPr>
                </pic:pic>
              </a:graphicData>
            </a:graphic>
          </wp:inline>
        </w:drawing>
      </w:r>
    </w:p>
    <w:p>
      <w:pPr>
        <w:pStyle w:val="ENCABEZADONIVEL1"/>
        <w:numPr>
          <w:ilvl w:val="0"/>
          <w:numId w:val="0"/>
        </w:numPr>
        <w:spacing w:before="120" w:after="0"/>
        <w:ind w:hanging="0" w:left="0"/>
        <w:jc w:val="center"/>
        <w:rPr>
          <w:caps w:val="false"/>
          <w:smallCaps w:val="false"/>
          <w:sz w:val="18"/>
          <w:szCs w:val="18"/>
        </w:rPr>
      </w:pPr>
      <w:r>
        <w:rPr>
          <w:caps w:val="false"/>
          <w:smallCaps w:val="false"/>
          <w:sz w:val="18"/>
          <w:szCs w:val="18"/>
        </w:rPr>
        <w:t>Figura 1. Distribución del número de imágenes por clases luego de eliminar nevus y aumentar los datos de entrenamiento.</w:t>
      </w:r>
    </w:p>
    <w:p>
      <w:pPr>
        <w:pStyle w:val="ENCABEZADONIVEL1"/>
        <w:numPr>
          <w:ilvl w:val="0"/>
          <w:numId w:val="0"/>
        </w:numPr>
        <w:spacing w:before="120" w:after="0"/>
        <w:ind w:hanging="0" w:left="0"/>
        <w:jc w:val="center"/>
        <w:rPr>
          <w:caps w:val="false"/>
          <w:smallCaps w:val="false"/>
          <w:sz w:val="18"/>
          <w:szCs w:val="18"/>
        </w:rPr>
      </w:pPr>
      <w:r>
        <w:rPr>
          <w:caps w:val="false"/>
          <w:smallCaps w:val="false"/>
          <w:sz w:val="18"/>
          <w:szCs w:val="18"/>
        </w:rPr>
      </w:r>
    </w:p>
    <w:p>
      <w:pPr>
        <w:pStyle w:val="ENCABEZADONIVEL1"/>
        <w:numPr>
          <w:ilvl w:val="0"/>
          <w:numId w:val="0"/>
        </w:numPr>
        <w:spacing w:before="60" w:after="0"/>
        <w:ind w:hanging="0" w:left="0"/>
        <w:rPr>
          <w:b w:val="false"/>
          <w:bCs/>
          <w:caps w:val="false"/>
          <w:smallCaps w:val="false"/>
          <w:sz w:val="20"/>
          <w:szCs w:val="20"/>
        </w:rPr>
      </w:pPr>
      <w:r>
        <w:rPr>
          <w:caps w:val="false"/>
          <w:smallCaps w:val="false"/>
        </w:rPr>
        <w:t>2.1 Resultados y discusión</w:t>
      </w:r>
    </w:p>
    <w:p>
      <w:pPr>
        <w:pStyle w:val="ENCABEZADONIVEL1"/>
        <w:numPr>
          <w:ilvl w:val="2"/>
          <w:numId w:val="9"/>
        </w:numPr>
        <w:spacing w:before="60" w:after="0"/>
        <w:ind w:hanging="0" w:left="0"/>
        <w:rPr>
          <w:i/>
          <w:i/>
          <w:iCs/>
          <w:caps w:val="false"/>
          <w:smallCaps w:val="false"/>
        </w:rPr>
      </w:pPr>
      <w:r>
        <w:rPr>
          <w:i/>
          <w:iCs/>
          <w:caps w:val="false"/>
          <w:smallCaps w:val="false"/>
        </w:rPr>
        <w:t>Extracción de características</w:t>
      </w:r>
    </w:p>
    <w:p>
      <w:pPr>
        <w:pStyle w:val="ENCABEZADONIVEL1"/>
        <w:numPr>
          <w:ilvl w:val="0"/>
          <w:numId w:val="0"/>
        </w:numPr>
        <w:spacing w:before="0" w:after="0"/>
        <w:ind w:hanging="0" w:left="0"/>
        <w:rPr>
          <w:b w:val="false"/>
          <w:bCs/>
          <w:caps w:val="false"/>
          <w:smallCaps w:val="false"/>
          <w:sz w:val="20"/>
          <w:szCs w:val="20"/>
        </w:rPr>
      </w:pPr>
      <w:r>
        <w:rPr>
          <w:b w:val="false"/>
          <w:bCs/>
          <w:caps w:val="false"/>
          <w:smallCaps w:val="false"/>
          <w:sz w:val="20"/>
          <w:szCs w:val="20"/>
        </w:rPr>
        <w:t>La tabla 1 muestra fórmulas empleadas para el cálculo de las características.</w:t>
      </w:r>
    </w:p>
    <w:p>
      <w:pPr>
        <w:pStyle w:val="ENCABEZADONIVEL1"/>
        <w:numPr>
          <w:ilvl w:val="0"/>
          <w:numId w:val="0"/>
        </w:numPr>
        <w:spacing w:before="0" w:after="0"/>
        <w:ind w:hanging="0" w:left="0"/>
        <w:rPr>
          <w:b w:val="false"/>
          <w:bCs/>
          <w:caps w:val="false"/>
          <w:smallCaps w:val="false"/>
          <w:sz w:val="20"/>
          <w:szCs w:val="20"/>
        </w:rPr>
      </w:pPr>
      <w:r>
        <w:rPr>
          <w:b w:val="false"/>
          <w:bCs/>
          <w:caps w:val="false"/>
          <w:smallCaps w:val="false"/>
          <w:sz w:val="20"/>
          <w:szCs w:val="20"/>
        </w:rPr>
        <w:t xml:space="preserve">Dentro de la característica Contorno se encuentra el área de la región activa en la máscara, el área de la región convexa que encierra la lesión y la solidez, asimetría, perímetro y la irregularidad. </w:t>
      </w:r>
    </w:p>
    <w:p>
      <w:pPr>
        <w:pStyle w:val="ENCABEZADONIVEL1"/>
        <w:numPr>
          <w:ilvl w:val="0"/>
          <w:numId w:val="0"/>
        </w:numPr>
        <w:spacing w:before="0" w:after="0"/>
        <w:ind w:hanging="0" w:left="0"/>
        <w:rPr>
          <w:b w:val="false"/>
          <w:bCs/>
          <w:caps w:val="false"/>
          <w:smallCaps w:val="false"/>
          <w:sz w:val="20"/>
          <w:szCs w:val="20"/>
        </w:rPr>
      </w:pPr>
      <w:r>
        <w:rPr>
          <w:b w:val="false"/>
          <w:bCs/>
          <w:caps w:val="false"/>
          <w:smallCaps w:val="false"/>
          <w:sz w:val="20"/>
          <w:szCs w:val="20"/>
        </w:rPr>
        <w:t xml:space="preserve">Dentro de la característica Color se calcularon métricas sobre los canales de los modelos de color HSV y RGB. La media o tonalidad predominante y la desviación estándar ofrecen información sobre la uniformidad y dispersión de los colores presentes en una lesión. También se calculó la raíz cuadrática media (RMS) y la raíz cuadrática desviada (RDS). </w:t>
      </w:r>
    </w:p>
    <w:p>
      <w:pPr>
        <w:pStyle w:val="ENCABEZADONIVEL1"/>
        <w:numPr>
          <w:ilvl w:val="0"/>
          <w:numId w:val="0"/>
        </w:numPr>
        <w:spacing w:before="0" w:after="0"/>
        <w:ind w:hanging="0" w:left="0"/>
        <w:rPr>
          <w:b w:val="false"/>
          <w:bCs/>
          <w:caps w:val="false"/>
          <w:smallCaps w:val="false"/>
          <w:sz w:val="20"/>
          <w:szCs w:val="20"/>
        </w:rPr>
      </w:pPr>
      <w:r>
        <w:rPr>
          <w:b w:val="false"/>
          <w:bCs/>
          <w:caps w:val="false"/>
          <w:smallCaps w:val="false"/>
          <w:sz w:val="20"/>
          <w:szCs w:val="20"/>
        </w:rPr>
        <w:t>Dentro de la característica Patrones y texturas se aplicó la Matriz de Co-ocurrencia de Niveles de Gris (GLCM) y   el análisis de los Patrones Locales Binarios (LBP) Ambas se realizaron sobre la región de interés en los canales RGB y HSV. Las propiedades incluidas fueron: contraste, disimilitud, homogeneidad, energía, correlación y segundo momento angular (ASM).</w:t>
      </w:r>
    </w:p>
    <w:p>
      <w:pPr>
        <w:pStyle w:val="ENCABEZADONIVEL1"/>
        <w:numPr>
          <w:ilvl w:val="0"/>
          <w:numId w:val="0"/>
        </w:numPr>
        <w:spacing w:before="0" w:after="0"/>
        <w:ind w:hanging="0" w:left="0"/>
        <w:rPr>
          <w:b w:val="false"/>
          <w:bCs/>
          <w:caps w:val="false"/>
          <w:smallCaps w:val="false"/>
          <w:sz w:val="20"/>
          <w:szCs w:val="20"/>
        </w:rPr>
      </w:pPr>
      <w:r>
        <w:rPr>
          <w:b w:val="false"/>
          <w:bCs/>
          <w:caps w:val="false"/>
          <w:smallCaps w:val="false"/>
          <w:sz w:val="20"/>
          <w:szCs w:val="20"/>
        </w:rPr>
      </w:r>
    </w:p>
    <w:p>
      <w:pPr>
        <w:pStyle w:val="Caption1"/>
        <w:keepNext w:val="true"/>
        <w:spacing w:before="120" w:after="0"/>
        <w:ind w:hanging="0"/>
        <w:rPr/>
      </w:pPr>
      <w:r>
        <w:rPr/>
        <w:t xml:space="preserve">Tabla </w:t>
      </w:r>
      <w:r>
        <w:rPr/>
        <w:fldChar w:fldCharType="begin"/>
      </w:r>
      <w:r>
        <w:rPr/>
        <w:instrText xml:space="preserve"> SEQ Tabla \* ROMAN </w:instrText>
      </w:r>
      <w:r>
        <w:rPr/>
        <w:fldChar w:fldCharType="separate"/>
      </w:r>
      <w:r>
        <w:rPr/>
        <w:t>I</w:t>
      </w:r>
      <w:r>
        <w:rPr/>
        <w:fldChar w:fldCharType="end"/>
      </w:r>
      <w:r>
        <w:rPr/>
        <w:t xml:space="preserve"> Fórmulas de cálculo de las características</w:t>
      </w:r>
    </w:p>
    <w:p>
      <w:pPr>
        <w:pStyle w:val="Normal"/>
        <w:rPr/>
      </w:pPr>
      <w:r>
        <w:rPr/>
      </w:r>
    </w:p>
    <w:tbl>
      <w:tblPr>
        <w:tblStyle w:val="Tablaconcuadrcula"/>
        <w:tblW w:w="467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60"/>
        <w:gridCol w:w="3012"/>
      </w:tblGrid>
      <w:tr>
        <w:trPr/>
        <w:tc>
          <w:tcPr>
            <w:tcW w:w="1660" w:type="dxa"/>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t>Características</w:t>
            </w:r>
          </w:p>
        </w:tc>
        <w:tc>
          <w:tcPr>
            <w:tcW w:w="3012" w:type="dxa"/>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t>Fórmula</w:t>
            </w:r>
          </w:p>
        </w:tc>
      </w:tr>
      <w:tr>
        <w:trPr/>
        <w:tc>
          <w:tcPr>
            <w:tcW w:w="1660" w:type="dxa"/>
            <w:tcBorders>
              <w:right w:val="nil"/>
            </w:tcBorders>
            <w:vAlign w:val="center"/>
          </w:tcPr>
          <w:p>
            <w:pPr>
              <w:pStyle w:val="ENCABEZADONIVEL1"/>
              <w:numPr>
                <w:ilvl w:val="0"/>
                <w:numId w:val="0"/>
              </w:numPr>
              <w:spacing w:before="60" w:after="0"/>
              <w:ind w:hanging="0" w:left="0"/>
              <w:jc w:val="center"/>
              <w:rPr>
                <w:i/>
                <w:i/>
                <w:iCs/>
                <w:caps w:val="false"/>
                <w:smallCaps w:val="false"/>
                <w:sz w:val="16"/>
                <w:szCs w:val="16"/>
              </w:rPr>
            </w:pPr>
            <w:r>
              <w:rPr>
                <w:rFonts w:eastAsia="Times New Roman" w:cs="Times New Roman"/>
                <w:i/>
                <w:iCs/>
                <w:caps w:val="false"/>
                <w:smallCaps w:val="false"/>
                <w:kern w:val="0"/>
                <w:sz w:val="16"/>
                <w:szCs w:val="16"/>
                <w:lang w:val="es-ES" w:eastAsia="es-ES"/>
              </w:rPr>
              <w:t>Contorno</w:t>
            </w:r>
          </w:p>
        </w:tc>
        <w:tc>
          <w:tcPr>
            <w:tcW w:w="3012" w:type="dxa"/>
            <w:tcBorders>
              <w:left w:val="nil"/>
            </w:tcBorders>
            <w:vAlign w:val="center"/>
          </w:tcPr>
          <w:p>
            <w:pPr>
              <w:pStyle w:val="ENCABEZADONIVEL1"/>
              <w:numPr>
                <w:ilvl w:val="0"/>
                <w:numId w:val="0"/>
              </w:numPr>
              <w:spacing w:before="60" w:after="0"/>
              <w:ind w:hanging="0" w:left="0"/>
              <w:jc w:val="left"/>
              <w:rPr>
                <w:caps w:val="false"/>
                <w:smallCaps w:val="false"/>
                <w:sz w:val="16"/>
                <w:szCs w:val="16"/>
              </w:rPr>
            </w:pPr>
            <w:r>
              <w:rPr>
                <w:rFonts w:eastAsia="Times New Roman" w:cs="Times New Roman"/>
                <w:caps w:val="false"/>
                <w:smallCaps w:val="false"/>
                <w:kern w:val="0"/>
                <w:sz w:val="16"/>
                <w:szCs w:val="16"/>
                <w:lang w:val="es-ES" w:eastAsia="es-ES"/>
              </w:rPr>
            </w:r>
          </w:p>
        </w:tc>
      </w:tr>
      <w:tr>
        <w:trPr/>
        <w:tc>
          <w:tcPr>
            <w:tcW w:w="1660"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Área Lesión</w:t>
            </w:r>
          </w:p>
        </w:tc>
        <w:tc>
          <w:tcPr>
            <w:tcW w:w="3012"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kern w:val="0"/>
                <w:lang w:val="es-ES" w:eastAsia="es-ES"/>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lesion</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M</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e>
                </m:nary>
              </m:oMath>
            </m:oMathPara>
          </w:p>
        </w:tc>
      </w:tr>
      <w:tr>
        <w:trPr/>
        <w:tc>
          <w:tcPr>
            <w:tcW w:w="1660"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Área Convexa</w:t>
            </w:r>
          </w:p>
        </w:tc>
        <w:tc>
          <w:tcPr>
            <w:tcW w:w="3012"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kern w:val="0"/>
                <w:lang w:val="es-ES" w:eastAsia="es-ES"/>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convexa</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M</m:t>
                        </m:r>
                      </m:e>
                      <m:sub>
                        <m:r>
                          <w:rPr>
                            <w:rFonts w:ascii="Cambria Math" w:hAnsi="Cambria Math"/>
                          </w:rPr>
                          <m:t xml:space="preserve">c</m:t>
                        </m:r>
                      </m:sub>
                    </m:sSub>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e>
                </m:nary>
              </m:oMath>
            </m:oMathPara>
          </w:p>
        </w:tc>
      </w:tr>
      <w:tr>
        <w:trPr/>
        <w:tc>
          <w:tcPr>
            <w:tcW w:w="1660"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Solidez</w:t>
            </w:r>
          </w:p>
        </w:tc>
        <w:tc>
          <w:tcPr>
            <w:tcW w:w="3012"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kern w:val="0"/>
                <w:lang w:val="es-ES" w:eastAsia="es-ES"/>
              </w:rPr>
            </w:r>
            <m:oMathPara xmlns:m="http://schemas.openxmlformats.org/officeDocument/2006/math">
              <m:oMathParaPr>
                <m:jc m:val="center"/>
              </m:oMathParaPr>
              <m:oMath>
                <m:r>
                  <w:rPr>
                    <w:rFonts w:ascii="Cambria Math" w:hAnsi="Cambria Math"/>
                  </w:rPr>
                  <m:t xml:space="preserve">S</m:t>
                </m:r>
                <m:r>
                  <w:rPr>
                    <w:rFonts w:ascii="Cambria Math" w:hAnsi="Cambria Math"/>
                  </w:rPr>
                  <m:t xml:space="preserve">=</m:t>
                </m:r>
                <m:f>
                  <m:num>
                    <m:sSub>
                      <m:e>
                        <m:r>
                          <w:rPr>
                            <w:rFonts w:ascii="Cambria Math" w:hAnsi="Cambria Math"/>
                          </w:rPr>
                          <m:t xml:space="preserve">A</m:t>
                        </m:r>
                      </m:e>
                      <m:sub>
                        <m:r>
                          <w:rPr>
                            <w:rFonts w:ascii="Cambria Math" w:hAnsi="Cambria Math"/>
                          </w:rPr>
                          <m:t xml:space="preserve">lesion</m:t>
                        </m:r>
                      </m:sub>
                    </m:sSub>
                  </m:num>
                  <m:den>
                    <m:sSub>
                      <m:e>
                        <m:r>
                          <w:rPr>
                            <w:rFonts w:ascii="Cambria Math" w:hAnsi="Cambria Math"/>
                          </w:rPr>
                          <m:t xml:space="preserve">A</m:t>
                        </m:r>
                      </m:e>
                      <m:sub>
                        <m:r>
                          <w:rPr>
                            <w:rFonts w:ascii="Cambria Math" w:hAnsi="Cambria Math"/>
                          </w:rPr>
                          <m:t xml:space="preserve">convexa</m:t>
                        </m:r>
                      </m:sub>
                    </m:sSub>
                  </m:den>
                </m:f>
              </m:oMath>
            </m:oMathPara>
          </w:p>
        </w:tc>
      </w:tr>
      <w:tr>
        <w:trPr/>
        <w:tc>
          <w:tcPr>
            <w:tcW w:w="1660"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Asimetría</w:t>
            </w:r>
          </w:p>
        </w:tc>
        <w:tc>
          <w:tcPr>
            <w:tcW w:w="3012"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kern w:val="0"/>
                <w:lang w:val="es-ES" w:eastAsia="es-ES"/>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sm</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lesion</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elipse</m:t>
                    </m:r>
                  </m:sub>
                </m:sSub>
                <m:r>
                  <w:rPr>
                    <w:rFonts w:ascii="Cambria Math" w:hAnsi="Cambria Math"/>
                  </w:rPr>
                  <m:t xml:space="preserve">∨</m:t>
                </m:r>
                <m:f>
                  <m:num/>
                  <m:den>
                    <m:sSub>
                      <m:e>
                        <m:r>
                          <w:rPr>
                            <w:rFonts w:ascii="Cambria Math" w:hAnsi="Cambria Math"/>
                          </w:rPr>
                          <m:t xml:space="preserve">A</m:t>
                        </m:r>
                      </m:e>
                      <m:sub>
                        <m:r>
                          <w:rPr>
                            <w:rFonts w:ascii="Cambria Math" w:hAnsi="Cambria Math"/>
                          </w:rPr>
                          <m:t xml:space="preserve">elipse</m:t>
                        </m:r>
                      </m:sub>
                    </m:sSub>
                  </m:den>
                </m:f>
              </m:oMath>
            </m:oMathPara>
          </w:p>
        </w:tc>
      </w:tr>
      <w:tr>
        <w:trPr/>
        <w:tc>
          <w:tcPr>
            <w:tcW w:w="1660"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Perímetro</w:t>
            </w:r>
          </w:p>
        </w:tc>
        <w:tc>
          <w:tcPr>
            <w:tcW w:w="3012"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kern w:val="0"/>
                <w:lang w:val="es-ES" w:eastAsia="es-ES"/>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lesion</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0</m:t>
                    </m:r>
                  </m:sub>
                  <m:sup>
                    <m:r>
                      <w:rPr>
                        <w:rFonts w:ascii="Cambria Math" w:hAnsi="Cambria Math"/>
                      </w:rPr>
                      <m:t xml:space="preserve">K</m:t>
                    </m:r>
                    <m:r>
                      <w:rPr>
                        <w:rFonts w:ascii="Cambria Math" w:hAnsi="Cambria Math"/>
                      </w:rPr>
                      <m:t xml:space="preserve">−</m:t>
                    </m:r>
                    <m:r>
                      <w:rPr>
                        <w:rFonts w:ascii="Cambria Math" w:hAnsi="Cambria Math"/>
                      </w:rPr>
                      <m:t xml:space="preserve">1</m:t>
                    </m:r>
                  </m:sup>
                  <m:e>
                    <m:r>
                      <w:rPr>
                        <w:rFonts w:ascii="Cambria Math" w:hAnsi="Cambria Math"/>
                      </w:rPr>
                      <m:t xml:space="preserve">C</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e>
                </m:nary>
              </m:oMath>
            </m:oMathPara>
          </w:p>
        </w:tc>
      </w:tr>
      <w:tr>
        <w:trPr/>
        <w:tc>
          <w:tcPr>
            <w:tcW w:w="1660"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Irregularidad</w:t>
            </w:r>
          </w:p>
        </w:tc>
        <w:tc>
          <w:tcPr>
            <w:tcW w:w="3012"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kern w:val="0"/>
                <w:lang w:val="es-ES" w:eastAsia="es-ES"/>
              </w:rPr>
            </w:r>
            <m:oMathPara xmlns:m="http://schemas.openxmlformats.org/officeDocument/2006/math">
              <m:oMathParaPr>
                <m:jc m:val="center"/>
              </m:oMathParaPr>
              <m:oMath>
                <m:r>
                  <w:rPr>
                    <w:rFonts w:ascii="Cambria Math" w:hAnsi="Cambria Math"/>
                  </w:rPr>
                  <m:t xml:space="preserve">I</m:t>
                </m:r>
                <m:r>
                  <w:rPr>
                    <w:rFonts w:ascii="Cambria Math" w:hAnsi="Cambria Math"/>
                  </w:rPr>
                  <m:t xml:space="preserve">=</m:t>
                </m:r>
                <m:sSub>
                  <m:e>
                    <m:r>
                      <w:rPr>
                        <w:rFonts w:ascii="Cambria Math" w:hAnsi="Cambria Math"/>
                      </w:rPr>
                      <m:t xml:space="preserve">P</m:t>
                    </m:r>
                  </m:e>
                  <m:sub>
                    <m:r>
                      <w:rPr>
                        <w:rFonts w:ascii="Cambria Math" w:hAnsi="Cambria Math"/>
                      </w:rPr>
                      <m:t xml:space="preserve">lesion</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elipse</m:t>
                    </m:r>
                  </m:sub>
                </m:sSub>
                <m:r>
                  <w:rPr>
                    <w:rFonts w:ascii="Cambria Math" w:hAnsi="Cambria Math"/>
                  </w:rPr>
                  <m:t xml:space="preserve">∨</m:t>
                </m:r>
                <m:f>
                  <m:num/>
                  <m:den>
                    <m:sSub>
                      <m:e>
                        <m:r>
                          <w:rPr>
                            <w:rFonts w:ascii="Cambria Math" w:hAnsi="Cambria Math"/>
                          </w:rPr>
                          <m:t xml:space="preserve">P</m:t>
                        </m:r>
                      </m:e>
                      <m:sub>
                        <m:r>
                          <w:rPr>
                            <w:rFonts w:ascii="Cambria Math" w:hAnsi="Cambria Math"/>
                          </w:rPr>
                          <m:t xml:space="preserve">elipse</m:t>
                        </m:r>
                      </m:sub>
                    </m:sSub>
                  </m:den>
                </m:f>
              </m:oMath>
            </m:oMathPara>
          </w:p>
        </w:tc>
      </w:tr>
      <w:tr>
        <w:trPr/>
        <w:tc>
          <w:tcPr>
            <w:tcW w:w="1660" w:type="dxa"/>
            <w:tcBorders>
              <w:right w:val="nil"/>
            </w:tcBorders>
            <w:vAlign w:val="center"/>
          </w:tcPr>
          <w:p>
            <w:pPr>
              <w:pStyle w:val="ENCABEZADONIVEL1"/>
              <w:numPr>
                <w:ilvl w:val="0"/>
                <w:numId w:val="0"/>
              </w:numPr>
              <w:spacing w:before="60" w:after="0"/>
              <w:ind w:hanging="0" w:left="0"/>
              <w:jc w:val="center"/>
              <w:rPr>
                <w:i/>
                <w:i/>
                <w:iCs/>
                <w:caps w:val="false"/>
                <w:smallCaps w:val="false"/>
                <w:sz w:val="16"/>
                <w:szCs w:val="16"/>
              </w:rPr>
            </w:pPr>
            <w:r>
              <w:rPr>
                <w:rFonts w:eastAsia="Times New Roman" w:cs="Times New Roman"/>
                <w:i/>
                <w:iCs/>
                <w:caps w:val="false"/>
                <w:smallCaps w:val="false"/>
                <w:kern w:val="0"/>
                <w:sz w:val="16"/>
                <w:szCs w:val="16"/>
                <w:lang w:val="es-ES" w:eastAsia="es-ES"/>
              </w:rPr>
              <w:t>Color</w:t>
            </w:r>
          </w:p>
        </w:tc>
        <w:tc>
          <w:tcPr>
            <w:tcW w:w="3012" w:type="dxa"/>
            <w:tcBorders>
              <w:left w:val="nil"/>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r>
          </w:p>
        </w:tc>
      </w:tr>
      <w:tr>
        <w:trPr/>
        <w:tc>
          <w:tcPr>
            <w:tcW w:w="1660"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Media</w:t>
            </w:r>
          </w:p>
        </w:tc>
        <w:tc>
          <w:tcPr>
            <w:tcW w:w="3012"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kern w:val="0"/>
                <w:lang w:val="es-ES" w:eastAsia="es-ES"/>
              </w:rPr>
            </w:r>
            <m:oMathPara xmlns:m="http://schemas.openxmlformats.org/officeDocument/2006/math">
              <m:oMathParaPr>
                <m:jc m:val="center"/>
              </m:oMathParaPr>
              <m:oMath>
                <m:r>
                  <w:rPr>
                    <w:rFonts w:ascii="Cambria Math" w:hAnsi="Cambria Math"/>
                  </w:rPr>
                  <m:t xml:space="preserve">μ</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p</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nary>
              </m:oMath>
            </m:oMathPara>
          </w:p>
        </w:tc>
      </w:tr>
      <w:tr>
        <w:trPr/>
        <w:tc>
          <w:tcPr>
            <w:tcW w:w="1660"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Desviación Estándar</w:t>
            </w:r>
          </w:p>
        </w:tc>
        <w:tc>
          <w:tcPr>
            <w:tcW w:w="3012"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kern w:val="0"/>
                <w:lang w:val="es-ES" w:eastAsia="es-ES"/>
              </w:rPr>
            </w:r>
            <m:oMathPara xmlns:m="http://schemas.openxmlformats.org/officeDocument/2006/math">
              <m:oMathParaPr>
                <m:jc m:val="center"/>
              </m:oMathParaPr>
              <m:oMath>
                <m:r>
                  <w:rPr>
                    <w:rFonts w:ascii="Cambria Math" w:hAnsi="Cambria Math"/>
                  </w:rPr>
                  <m:t xml:space="preserve">σ</m:t>
                </m:r>
                <m:r>
                  <w:rPr>
                    <w:rFonts w:ascii="Cambria Math" w:hAnsi="Cambria Math"/>
                  </w:rPr>
                  <m:t xml:space="preserve">=</m:t>
                </m:r>
                <m:rad>
                  <m:radPr>
                    <m:degHide m:val="1"/>
                  </m:radPr>
                  <m:deg/>
                  <m:e>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p>
                          <m:e>
                            <m:d>
                              <m:dPr>
                                <m:begChr m:val="("/>
                                <m:endChr m:val=")"/>
                              </m:dPr>
                              <m:e>
                                <m:r>
                                  <w:rPr>
                                    <w:rFonts w:ascii="Cambria Math" w:hAnsi="Cambria Math"/>
                                  </w:rPr>
                                  <m:t xml:space="preserve">p</m:t>
                                </m:r>
                              </m:e>
                              <m:e/>
                              <m:e>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μ</m:t>
                                </m:r>
                              </m:e>
                            </m:d>
                          </m:e>
                          <m:sup>
                            <m:r>
                              <w:rPr>
                                <w:rFonts w:ascii="Cambria Math" w:hAnsi="Cambria Math"/>
                              </w:rPr>
                              <m:t xml:space="preserve">2</m:t>
                            </m:r>
                          </m:sup>
                        </m:sSup>
                      </m:e>
                    </m:nary>
                  </m:e>
                </m:rad>
              </m:oMath>
            </m:oMathPara>
          </w:p>
        </w:tc>
      </w:tr>
      <w:tr>
        <w:trPr/>
        <w:tc>
          <w:tcPr>
            <w:tcW w:w="1660"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RMS</w:t>
            </w:r>
          </w:p>
        </w:tc>
        <w:tc>
          <w:tcPr>
            <w:tcW w:w="3012"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kern w:val="0"/>
                <w:lang w:val="es-ES" w:eastAsia="es-ES"/>
              </w:rPr>
            </w:r>
            <m:oMathPara xmlns:m="http://schemas.openxmlformats.org/officeDocument/2006/math">
              <m:oMathParaPr>
                <m:jc m:val="center"/>
              </m:oMathParaPr>
              <m:oMath>
                <m:r>
                  <w:rPr>
                    <w:rFonts w:ascii="Cambria Math" w:hAnsi="Cambria Math"/>
                  </w:rPr>
                  <m:t xml:space="preserve">RMS</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p>
                      <m:e>
                        <m:sSub>
                          <m:e>
                            <m:r>
                              <w:rPr>
                                <w:rFonts w:ascii="Cambria Math" w:hAnsi="Cambria Math"/>
                              </w:rPr>
                              <m:t xml:space="preserve">p</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sup>
                        <m:r>
                          <w:rPr>
                            <w:rFonts w:ascii="Cambria Math" w:hAnsi="Cambria Math"/>
                          </w:rPr>
                          <m:t xml:space="preserve">2</m:t>
                        </m:r>
                      </m:sup>
                    </m:sSup>
                  </m:e>
                </m:nary>
              </m:oMath>
            </m:oMathPara>
          </w:p>
        </w:tc>
      </w:tr>
      <w:tr>
        <w:trPr/>
        <w:tc>
          <w:tcPr>
            <w:tcW w:w="1660"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RDS</w:t>
            </w:r>
          </w:p>
        </w:tc>
        <w:tc>
          <w:tcPr>
            <w:tcW w:w="3012" w:type="dxa"/>
            <w:tcBorders/>
            <w:vAlign w:val="center"/>
          </w:tcPr>
          <w:p>
            <w:pPr>
              <w:pStyle w:val="ENCABEZADONIVEL1"/>
              <w:numPr>
                <w:ilvl w:val="0"/>
                <w:numId w:val="0"/>
              </w:numPr>
              <w:spacing w:before="60" w:after="0"/>
              <w:ind w:hanging="0" w:left="0"/>
              <w:jc w:val="center"/>
              <w:rPr>
                <w:b w:val="false"/>
                <w:bCs/>
                <w:caps w:val="false"/>
                <w:smallCaps w:val="false"/>
                <w:sz w:val="16"/>
                <w:szCs w:val="16"/>
                <w:lang w:val="en-US"/>
              </w:rPr>
            </w:pPr>
            <w:r>
              <w:rPr>
                <w:rFonts w:eastAsia="Times New Roman" w:cs="Times New Roman"/>
                <w:kern w:val="0"/>
                <w:lang w:eastAsia="es-ES"/>
              </w:rPr>
            </w:r>
            <m:oMathPara xmlns:m="http://schemas.openxmlformats.org/officeDocument/2006/math">
              <m:oMathParaPr>
                <m:jc m:val="center"/>
              </m:oMathParaPr>
              <m:oMath>
                <m:r>
                  <w:rPr>
                    <w:rFonts w:ascii="Cambria Math" w:hAnsi="Cambria Math"/>
                  </w:rPr>
                  <m:t xml:space="preserve">RDS</m:t>
                </m:r>
                <m:r>
                  <w:rPr>
                    <w:rFonts w:ascii="Cambria Math" w:hAnsi="Cambria Math"/>
                  </w:rPr>
                  <m:t xml:space="preserve">=</m:t>
                </m:r>
                <m:rad>
                  <m:radPr>
                    <m:degHide m:val="1"/>
                  </m:radPr>
                  <m:deg/>
                  <m:e>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p>
                          <m:e>
                            <m:d>
                              <m:dPr>
                                <m:begChr m:val="("/>
                                <m:endChr m:val=")"/>
                              </m:dPr>
                              <m:e>
                                <m:r>
                                  <w:rPr>
                                    <w:rFonts w:ascii="Cambria Math" w:hAnsi="Cambria Math"/>
                                  </w:rPr>
                                  <m:t xml:space="preserve">p</m:t>
                                </m:r>
                              </m:e>
                              <m:e/>
                              <m:e>
                                <m:r>
                                  <w:rPr>
                                    <w:rFonts w:ascii="Cambria Math" w:hAnsi="Cambria Math"/>
                                  </w:rPr>
                                  <m:t xml:space="preserve">i</m:t>
                                </m:r>
                                <m:r>
                                  <w:rPr>
                                    <w:rFonts w:ascii="Cambria Math" w:hAnsi="Cambria Math"/>
                                  </w:rPr>
                                  <m:t xml:space="preserve">,</m:t>
                                </m:r>
                                <m:r>
                                  <w:rPr>
                                    <w:rFonts w:ascii="Cambria Math" w:hAnsi="Cambria Math"/>
                                  </w:rPr>
                                  <m:t xml:space="preserve">j</m:t>
                                </m:r>
                              </m:e>
                              <m:e/>
                              <m:e>
                                <m:r>
                                  <w:rPr>
                                    <w:rFonts w:ascii="Cambria Math" w:hAnsi="Cambria Math"/>
                                  </w:rPr>
                                  <m:t xml:space="preserve">2</m:t>
                                </m:r>
                                <m:r>
                                  <w:rPr>
                                    <w:rFonts w:ascii="Cambria Math" w:hAnsi="Cambria Math"/>
                                  </w:rPr>
                                  <m:t xml:space="preserve">−</m:t>
                                </m:r>
                                <m:r>
                                  <w:rPr>
                                    <w:rFonts w:ascii="Cambria Math" w:hAnsi="Cambria Math"/>
                                  </w:rPr>
                                  <m:t xml:space="preserve">RMS</m:t>
                                </m:r>
                              </m:e>
                            </m:d>
                          </m:e>
                          <m:sup>
                            <m:r>
                              <w:rPr>
                                <w:rFonts w:ascii="Cambria Math" w:hAnsi="Cambria Math"/>
                              </w:rPr>
                              <m:t xml:space="preserve">2</m:t>
                            </m:r>
                          </m:sup>
                        </m:sSup>
                      </m:e>
                    </m:nary>
                  </m:e>
                </m:rad>
              </m:oMath>
            </m:oMathPara>
          </w:p>
        </w:tc>
      </w:tr>
      <w:tr>
        <w:trPr/>
        <w:tc>
          <w:tcPr>
            <w:tcW w:w="1660" w:type="dxa"/>
            <w:tcBorders>
              <w:right w:val="nil"/>
            </w:tcBorders>
            <w:vAlign w:val="center"/>
          </w:tcPr>
          <w:p>
            <w:pPr>
              <w:pStyle w:val="ENCABEZADONIVEL1"/>
              <w:numPr>
                <w:ilvl w:val="0"/>
                <w:numId w:val="0"/>
              </w:numPr>
              <w:spacing w:before="60" w:after="0"/>
              <w:ind w:hanging="0" w:left="0"/>
              <w:jc w:val="center"/>
              <w:rPr>
                <w:i/>
                <w:i/>
                <w:iCs/>
                <w:caps w:val="false"/>
                <w:smallCaps w:val="false"/>
                <w:sz w:val="16"/>
                <w:szCs w:val="16"/>
              </w:rPr>
            </w:pPr>
            <w:r>
              <w:rPr>
                <w:rFonts w:eastAsia="Times New Roman" w:cs="Times New Roman"/>
                <w:i/>
                <w:iCs/>
                <w:caps w:val="false"/>
                <w:smallCaps w:val="false"/>
                <w:kern w:val="0"/>
                <w:sz w:val="16"/>
                <w:szCs w:val="16"/>
                <w:lang w:val="es-ES" w:eastAsia="es-ES"/>
              </w:rPr>
              <w:t>Patrones y Textura</w:t>
            </w:r>
          </w:p>
        </w:tc>
        <w:tc>
          <w:tcPr>
            <w:tcW w:w="3012" w:type="dxa"/>
            <w:tcBorders>
              <w:left w:val="nil"/>
            </w:tcBorders>
            <w:vAlign w:val="center"/>
          </w:tcPr>
          <w:p>
            <w:pPr>
              <w:pStyle w:val="ENCABEZADONIVEL1"/>
              <w:numPr>
                <w:ilvl w:val="0"/>
                <w:numId w:val="0"/>
              </w:numPr>
              <w:spacing w:before="60" w:after="0"/>
              <w:ind w:hanging="0" w:left="0"/>
              <w:jc w:val="center"/>
              <w:rPr>
                <w:b w:val="false"/>
                <w:bCs/>
                <w:i/>
                <w:i/>
                <w:iCs/>
                <w:caps w:val="false"/>
                <w:smallCaps w:val="false"/>
                <w:sz w:val="16"/>
                <w:szCs w:val="16"/>
              </w:rPr>
            </w:pPr>
            <w:r>
              <w:rPr>
                <w:rFonts w:eastAsia="Times New Roman" w:cs="Times New Roman"/>
                <w:b w:val="false"/>
                <w:bCs/>
                <w:i/>
                <w:iCs/>
                <w:caps w:val="false"/>
                <w:smallCaps w:val="false"/>
                <w:kern w:val="0"/>
                <w:sz w:val="16"/>
                <w:szCs w:val="16"/>
                <w:lang w:val="es-ES" w:eastAsia="es-ES"/>
              </w:rPr>
            </w:r>
          </w:p>
        </w:tc>
      </w:tr>
      <w:tr>
        <w:trPr/>
        <w:tc>
          <w:tcPr>
            <w:tcW w:w="1660"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Contraste</w:t>
            </w:r>
          </w:p>
        </w:tc>
        <w:tc>
          <w:tcPr>
            <w:tcW w:w="3012"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kern w:val="0"/>
                <w:lang w:val="es-ES" w:eastAsia="es-ES"/>
              </w:rPr>
            </w:r>
            <m:oMathPara xmlns:m="http://schemas.openxmlformats.org/officeDocument/2006/math">
              <m:oMathParaPr>
                <m:jc m:val="center"/>
              </m:oMathParaPr>
              <m:oMath>
                <m:sSub>
                  <m:e>
                    <m:r>
                      <w:rPr>
                        <w:rFonts w:ascii="Cambria Math" w:hAnsi="Cambria Math"/>
                      </w:rPr>
                      <m:t xml:space="preserve">C</m:t>
                    </m:r>
                  </m:e>
                  <m:sub>
                    <m:r>
                      <w:rPr>
                        <w:rFonts w:ascii="Cambria Math" w:hAnsi="Cambria Math"/>
                      </w:rPr>
                      <m:t xml:space="preserve">st</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0</m:t>
                    </m:r>
                  </m:sub>
                  <m:sup>
                    <m:r>
                      <w:rPr>
                        <w:rFonts w:ascii="Cambria Math" w:hAnsi="Cambria Math"/>
                      </w:rPr>
                      <m:t xml:space="preserve">L</m:t>
                    </m:r>
                    <m:r>
                      <w:rPr>
                        <w:rFonts w:ascii="Cambria Math" w:hAnsi="Cambria Math"/>
                      </w:rPr>
                      <m:t xml:space="preserve">−</m:t>
                    </m:r>
                    <m:r>
                      <w:rPr>
                        <w:rFonts w:ascii="Cambria Math" w:hAnsi="Cambria Math"/>
                      </w:rPr>
                      <m:t xml:space="preserve">1</m:t>
                    </m:r>
                  </m:sup>
                  <m:e>
                    <m:r>
                      <w:rPr>
                        <w:rFonts w:ascii="Cambria Math" w:hAnsi="Cambria Math"/>
                      </w:rPr>
                      <m:t xml:space="preserve">P</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θ</m:t>
                        </m:r>
                      </m:e>
                    </m:d>
                  </m:e>
                </m:nary>
                <m:sSup>
                  <m:e>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e>
                  <m:sup>
                    <m:r>
                      <w:rPr>
                        <w:rFonts w:ascii="Cambria Math" w:hAnsi="Cambria Math"/>
                      </w:rPr>
                      <m:t xml:space="preserve">2</m:t>
                    </m:r>
                  </m:sup>
                </m:sSup>
              </m:oMath>
            </m:oMathPara>
          </w:p>
        </w:tc>
      </w:tr>
      <w:tr>
        <w:trPr/>
        <w:tc>
          <w:tcPr>
            <w:tcW w:w="1660"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Disimilitud</w:t>
            </w:r>
          </w:p>
        </w:tc>
        <w:tc>
          <w:tcPr>
            <w:tcW w:w="3012"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kern w:val="0"/>
                <w:lang w:val="es-ES" w:eastAsia="es-ES"/>
              </w:rPr>
            </w:r>
            <m:oMathPara xmlns:m="http://schemas.openxmlformats.org/officeDocument/2006/math">
              <m:oMathParaPr>
                <m:jc m:val="center"/>
              </m:oMathParaPr>
              <m:oMath>
                <m:r>
                  <w:rPr>
                    <w:rFonts w:ascii="Cambria Math" w:hAnsi="Cambria Math"/>
                  </w:rPr>
                  <m:t xml:space="preserve">D</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0</m:t>
                    </m:r>
                  </m:sub>
                  <m:sup>
                    <m:r>
                      <w:rPr>
                        <w:rFonts w:ascii="Cambria Math" w:hAnsi="Cambria Math"/>
                      </w:rPr>
                      <m:t xml:space="preserve">L</m:t>
                    </m:r>
                    <m:r>
                      <w:rPr>
                        <w:rFonts w:ascii="Cambria Math" w:hAnsi="Cambria Math"/>
                      </w:rPr>
                      <m:t xml:space="preserve">−</m:t>
                    </m:r>
                    <m:r>
                      <w:rPr>
                        <w:rFonts w:ascii="Cambria Math" w:hAnsi="Cambria Math"/>
                      </w:rPr>
                      <m:t xml:space="preserve">1</m:t>
                    </m:r>
                  </m:sup>
                  <m:e>
                    <m:r>
                      <w:rPr>
                        <w:rFonts w:ascii="Cambria Math" w:hAnsi="Cambria Math"/>
                      </w:rPr>
                      <m:t xml:space="preserve">P</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θ</m:t>
                        </m:r>
                      </m:e>
                    </m:d>
                  </m:e>
                </m:nary>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oMath>
            </m:oMathPara>
          </w:p>
        </w:tc>
      </w:tr>
      <w:tr>
        <w:trPr/>
        <w:tc>
          <w:tcPr>
            <w:tcW w:w="1660"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Homogeneidad</w:t>
            </w:r>
          </w:p>
        </w:tc>
        <w:tc>
          <w:tcPr>
            <w:tcW w:w="3012"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kern w:val="0"/>
                <w:lang w:val="es-ES" w:eastAsia="es-ES"/>
              </w:rPr>
            </w:r>
            <m:oMathPara xmlns:m="http://schemas.openxmlformats.org/officeDocument/2006/math">
              <m:oMathParaPr>
                <m:jc m:val="center"/>
              </m:oMathParaPr>
              <m:oMath>
                <m:r>
                  <w:rPr>
                    <w:rFonts w:ascii="Cambria Math" w:hAnsi="Cambria Math"/>
                  </w:rPr>
                  <m:t xml:space="preserve">H</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0</m:t>
                    </m:r>
                  </m:sub>
                  <m:sup>
                    <m:r>
                      <w:rPr>
                        <w:rFonts w:ascii="Cambria Math" w:hAnsi="Cambria Math"/>
                      </w:rPr>
                      <m:t xml:space="preserve">L</m:t>
                    </m:r>
                    <m:r>
                      <w:rPr>
                        <w:rFonts w:ascii="Cambria Math" w:hAnsi="Cambria Math"/>
                      </w:rPr>
                      <m:t xml:space="preserve">−</m:t>
                    </m:r>
                    <m:r>
                      <w:rPr>
                        <w:rFonts w:ascii="Cambria Math" w:hAnsi="Cambria Math"/>
                      </w:rPr>
                      <m:t xml:space="preserve">1</m:t>
                    </m:r>
                  </m:sup>
                  <m:e>
                    <m:f>
                      <m:num>
                        <m:r>
                          <w:rPr>
                            <w:rFonts w:ascii="Cambria Math" w:hAnsi="Cambria Math"/>
                          </w:rPr>
                          <m:t xml:space="preserve">P</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θ</m:t>
                            </m:r>
                          </m:e>
                        </m:d>
                      </m:num>
                      <m:den>
                        <m:r>
                          <w:rPr>
                            <w:rFonts w:ascii="Cambria Math" w:hAnsi="Cambria Math"/>
                          </w:rPr>
                          <m:t xml:space="preserve">1</m:t>
                        </m:r>
                        <m:r>
                          <w:rPr>
                            <w:rFonts w:ascii="Cambria Math" w:hAnsi="Cambria Math"/>
                          </w:rPr>
                          <m:t xml:space="preserve">+</m:t>
                        </m:r>
                        <m:sSup>
                          <m:e>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e>
                          <m:sup>
                            <m:r>
                              <w:rPr>
                                <w:rFonts w:ascii="Cambria Math" w:hAnsi="Cambria Math"/>
                              </w:rPr>
                              <m:t xml:space="preserve">2</m:t>
                            </m:r>
                          </m:sup>
                        </m:sSup>
                      </m:den>
                    </m:f>
                  </m:e>
                </m:nary>
              </m:oMath>
            </m:oMathPara>
          </w:p>
        </w:tc>
      </w:tr>
      <w:tr>
        <w:trPr/>
        <w:tc>
          <w:tcPr>
            <w:tcW w:w="1660"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ASM</w:t>
            </w:r>
          </w:p>
        </w:tc>
        <w:tc>
          <w:tcPr>
            <w:tcW w:w="3012"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kern w:val="0"/>
                <w:lang w:val="es-ES" w:eastAsia="es-ES"/>
              </w:rPr>
            </w:r>
            <m:oMathPara xmlns:m="http://schemas.openxmlformats.org/officeDocument/2006/math">
              <m:oMathParaPr>
                <m:jc m:val="center"/>
              </m:oMathParaPr>
              <m:oMath>
                <m:r>
                  <w:rPr>
                    <w:rFonts w:ascii="Cambria Math" w:hAnsi="Cambria Math"/>
                  </w:rPr>
                  <m:t xml:space="preserve">ASM</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0</m:t>
                    </m:r>
                  </m:sub>
                  <m:sup>
                    <m:r>
                      <w:rPr>
                        <w:rFonts w:ascii="Cambria Math" w:hAnsi="Cambria Math"/>
                      </w:rPr>
                      <m:t xml:space="preserve">L</m:t>
                    </m:r>
                    <m:r>
                      <w:rPr>
                        <w:rFonts w:ascii="Cambria Math" w:hAnsi="Cambria Math"/>
                      </w:rPr>
                      <m:t xml:space="preserve">−</m:t>
                    </m:r>
                    <m:r>
                      <w:rPr>
                        <w:rFonts w:ascii="Cambria Math" w:hAnsi="Cambria Math"/>
                      </w:rPr>
                      <m:t xml:space="preserve">1</m:t>
                    </m:r>
                  </m:sup>
                  <m:e>
                    <m:sSup>
                      <m:e>
                        <m:r>
                          <w:rPr>
                            <w:rFonts w:ascii="Cambria Math" w:hAnsi="Cambria Math"/>
                          </w:rPr>
                          <m:t xml:space="preserve">P</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θ</m:t>
                            </m:r>
                          </m:e>
                        </m:d>
                      </m:e>
                      <m:sup>
                        <m:r>
                          <w:rPr>
                            <w:rFonts w:ascii="Cambria Math" w:hAnsi="Cambria Math"/>
                          </w:rPr>
                          <m:t xml:space="preserve">2</m:t>
                        </m:r>
                      </m:sup>
                    </m:sSup>
                  </m:e>
                </m:nary>
              </m:oMath>
            </m:oMathPara>
          </w:p>
        </w:tc>
      </w:tr>
      <w:tr>
        <w:trPr/>
        <w:tc>
          <w:tcPr>
            <w:tcW w:w="1660"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Energía</w:t>
            </w:r>
          </w:p>
        </w:tc>
        <w:tc>
          <w:tcPr>
            <w:tcW w:w="3012"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kern w:val="0"/>
                <w:lang w:val="es-ES" w:eastAsia="es-ES"/>
              </w:rPr>
            </w:r>
            <m:oMathPara xmlns:m="http://schemas.openxmlformats.org/officeDocument/2006/math">
              <m:oMathParaPr>
                <m:jc m:val="center"/>
              </m:oMathParaPr>
              <m:oMath>
                <m:r>
                  <w:rPr>
                    <w:rFonts w:ascii="Cambria Math" w:hAnsi="Cambria Math"/>
                  </w:rPr>
                  <m:t xml:space="preserve">E</m:t>
                </m:r>
                <m:r>
                  <w:rPr>
                    <w:rFonts w:ascii="Cambria Math" w:hAnsi="Cambria Math"/>
                  </w:rPr>
                  <m:t xml:space="preserve">=</m:t>
                </m:r>
                <m:rad>
                  <m:radPr>
                    <m:degHide m:val="1"/>
                  </m:radPr>
                  <m:deg/>
                  <m:e>
                    <m:r>
                      <w:rPr>
                        <w:rFonts w:ascii="Cambria Math" w:hAnsi="Cambria Math"/>
                      </w:rPr>
                      <m:t xml:space="preserve">ASM</m:t>
                    </m:r>
                  </m:e>
                </m:rad>
              </m:oMath>
            </m:oMathPara>
          </w:p>
        </w:tc>
      </w:tr>
      <w:tr>
        <w:trPr/>
        <w:tc>
          <w:tcPr>
            <w:tcW w:w="1660"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Correlación</w:t>
            </w:r>
          </w:p>
        </w:tc>
        <w:tc>
          <w:tcPr>
            <w:tcW w:w="3012"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kern w:val="0"/>
                <w:lang w:val="es-ES" w:eastAsia="es-ES"/>
              </w:rPr>
            </w:r>
            <m:oMathPara xmlns:m="http://schemas.openxmlformats.org/officeDocument/2006/math">
              <m:oMathParaPr>
                <m:jc m:val="center"/>
              </m:oMathParaPr>
              <m:oMath>
                <m:sSub>
                  <m:e>
                    <m:r>
                      <w:rPr>
                        <w:rFonts w:ascii="Cambria Math" w:hAnsi="Cambria Math"/>
                      </w:rPr>
                      <m:t xml:space="preserve">C</m:t>
                    </m:r>
                  </m:e>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0</m:t>
                    </m:r>
                  </m:sub>
                  <m:sup>
                    <m:r>
                      <w:rPr>
                        <w:rFonts w:ascii="Cambria Math" w:hAnsi="Cambria Math"/>
                      </w:rPr>
                      <m:t xml:space="preserve">L</m:t>
                    </m:r>
                    <m:r>
                      <w:rPr>
                        <w:rFonts w:ascii="Cambria Math" w:hAnsi="Cambria Math"/>
                      </w:rPr>
                      <m:t xml:space="preserve">−</m:t>
                    </m:r>
                    <m:r>
                      <w:rPr>
                        <w:rFonts w:ascii="Cambria Math" w:hAnsi="Cambria Math"/>
                      </w:rPr>
                      <m:t xml:space="preserve">1</m:t>
                    </m:r>
                  </m:sup>
                  <m:e>
                    <m:r>
                      <w:rPr>
                        <w:rFonts w:ascii="Cambria Math" w:hAnsi="Cambria Math"/>
                      </w:rPr>
                      <m:t xml:space="preserve">P</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θ</m:t>
                        </m:r>
                      </m:e>
                    </m:d>
                    <m:f>
                      <m:num>
                        <m:d>
                          <m:dPr>
                            <m:begChr m:val="("/>
                            <m:endChr m:val=")"/>
                          </m:dPr>
                          <m:e>
                            <m:r>
                              <w:rPr>
                                <w:rFonts w:ascii="Cambria Math" w:hAnsi="Cambria Math"/>
                              </w:rPr>
                              <m:t xml:space="preserve">i</m:t>
                            </m:r>
                            <m:r>
                              <w:rPr>
                                <w:rFonts w:ascii="Cambria Math" w:hAnsi="Cambria Math"/>
                              </w:rPr>
                              <m:t xml:space="preserve">−</m:t>
                            </m:r>
                            <m:sSub>
                              <m:e>
                                <m:r>
                                  <w:rPr>
                                    <w:rFonts w:ascii="Cambria Math" w:hAnsi="Cambria Math"/>
                                  </w:rPr>
                                  <m:t xml:space="preserve">μ</m:t>
                                </m:r>
                              </m:e>
                              <m:sub>
                                <m:r>
                                  <w:rPr>
                                    <w:rFonts w:ascii="Cambria Math" w:hAnsi="Cambria Math"/>
                                  </w:rPr>
                                  <m:t xml:space="preserve">i</m:t>
                                </m:r>
                              </m:sub>
                            </m:sSub>
                          </m:e>
                        </m:d>
                        <m:d>
                          <m:dPr>
                            <m:begChr m:val="("/>
                            <m:endChr m:val=")"/>
                          </m:dPr>
                          <m:e>
                            <m:r>
                              <w:rPr>
                                <w:rFonts w:ascii="Cambria Math" w:hAnsi="Cambria Math"/>
                              </w:rPr>
                              <m:t xml:space="preserve">j</m:t>
                            </m:r>
                            <m:r>
                              <w:rPr>
                                <w:rFonts w:ascii="Cambria Math" w:hAnsi="Cambria Math"/>
                              </w:rPr>
                              <m:t xml:space="preserve">−</m:t>
                            </m:r>
                            <m:sSub>
                              <m:e>
                                <m:r>
                                  <w:rPr>
                                    <w:rFonts w:ascii="Cambria Math" w:hAnsi="Cambria Math"/>
                                  </w:rPr>
                                  <m:t xml:space="preserve">μ</m:t>
                                </m:r>
                              </m:e>
                              <m:sub>
                                <m:r>
                                  <w:rPr>
                                    <w:rFonts w:ascii="Cambria Math" w:hAnsi="Cambria Math"/>
                                  </w:rPr>
                                  <m:t xml:space="preserve">j</m:t>
                                </m:r>
                              </m:sub>
                            </m:sSub>
                          </m:e>
                        </m:d>
                      </m:num>
                      <m:den>
                        <m:sSubSup>
                          <m:e>
                            <m:r>
                              <w:rPr>
                                <w:rFonts w:ascii="Cambria Math" w:hAnsi="Cambria Math"/>
                              </w:rPr>
                              <m:t xml:space="preserve">σ</m:t>
                            </m:r>
                          </m:e>
                          <m:sub>
                            <m:r>
                              <w:rPr>
                                <w:rFonts w:ascii="Cambria Math" w:hAnsi="Cambria Math"/>
                              </w:rPr>
                              <m:t xml:space="preserve">i</m:t>
                            </m:r>
                          </m:sub>
                          <m:sup>
                            <m:r>
                              <w:rPr>
                                <w:rFonts w:ascii="Cambria Math" w:hAnsi="Cambria Math"/>
                              </w:rPr>
                              <m:t xml:space="preserve">2</m:t>
                            </m:r>
                          </m:sup>
                        </m:sSubSup>
                        <m:sSubSup>
                          <m:e>
                            <m:r>
                              <w:rPr>
                                <w:rFonts w:ascii="Cambria Math" w:hAnsi="Cambria Math"/>
                              </w:rPr>
                              <m:t xml:space="preserve">σ</m:t>
                            </m:r>
                          </m:e>
                          <m:sub>
                            <m:r>
                              <w:rPr>
                                <w:rFonts w:ascii="Cambria Math" w:hAnsi="Cambria Math"/>
                              </w:rPr>
                              <m:t xml:space="preserve">j</m:t>
                            </m:r>
                          </m:sub>
                          <m:sup>
                            <m:r>
                              <w:rPr>
                                <w:rFonts w:ascii="Cambria Math" w:hAnsi="Cambria Math"/>
                              </w:rPr>
                              <m:t xml:space="preserve">2</m:t>
                            </m:r>
                          </m:sup>
                        </m:sSubSup>
                      </m:den>
                    </m:f>
                  </m:e>
                </m:nary>
              </m:oMath>
            </m:oMathPara>
          </w:p>
        </w:tc>
      </w:tr>
    </w:tbl>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r>
    </w:p>
    <w:p>
      <w:pPr>
        <w:pStyle w:val="ENCABEZADONIVEL1"/>
        <w:numPr>
          <w:ilvl w:val="0"/>
          <w:numId w:val="0"/>
        </w:numPr>
        <w:spacing w:before="0" w:after="0"/>
        <w:ind w:hanging="0" w:left="0"/>
        <w:rPr>
          <w:i/>
          <w:i/>
          <w:iCs/>
          <w:caps w:val="false"/>
          <w:smallCaps w:val="false"/>
        </w:rPr>
      </w:pPr>
      <w:r>
        <w:rPr>
          <w:i/>
          <w:iCs/>
          <w:caps w:val="false"/>
          <w:smallCaps w:val="false"/>
        </w:rPr>
      </w:r>
    </w:p>
    <w:p>
      <w:pPr>
        <w:pStyle w:val="ENCABEZADONIVEL1"/>
        <w:numPr>
          <w:ilvl w:val="0"/>
          <w:numId w:val="0"/>
        </w:numPr>
        <w:spacing w:before="0" w:after="0"/>
        <w:ind w:hanging="0" w:left="0"/>
        <w:rPr>
          <w:i/>
          <w:i/>
          <w:iCs/>
          <w:caps w:val="false"/>
          <w:smallCaps w:val="false"/>
        </w:rPr>
      </w:pPr>
      <w:r>
        <w:rPr>
          <w:i/>
          <w:iCs/>
          <w:caps w:val="false"/>
          <w:smallCaps w:val="false"/>
        </w:rPr>
        <w:t xml:space="preserve">2.2.2 Preparación de las imágenes </w:t>
      </w:r>
    </w:p>
    <w:p>
      <w:pPr>
        <w:pStyle w:val="ENCABEZADONIVEL1"/>
        <w:numPr>
          <w:ilvl w:val="0"/>
          <w:numId w:val="0"/>
        </w:numPr>
        <w:spacing w:before="0" w:after="0"/>
        <w:ind w:hanging="0" w:left="0"/>
        <w:rPr>
          <w:b w:val="false"/>
          <w:bCs/>
          <w:caps w:val="false"/>
          <w:smallCaps w:val="false"/>
          <w:sz w:val="20"/>
          <w:szCs w:val="20"/>
        </w:rPr>
      </w:pPr>
      <w:r>
        <w:rPr>
          <w:b w:val="false"/>
          <w:bCs/>
          <w:caps w:val="false"/>
          <w:smallCaps w:val="false"/>
          <w:sz w:val="20"/>
          <w:szCs w:val="20"/>
        </w:rPr>
        <w:t>Las etapas clave de la preparación de la base de datos incluyen redimensionamiento, aplicación de filtro y eliminación de vellos (Figura 2).</w:t>
      </w:r>
    </w:p>
    <w:p>
      <w:pPr>
        <w:pStyle w:val="ENCABEZADONIVEL1"/>
        <w:numPr>
          <w:ilvl w:val="0"/>
          <w:numId w:val="0"/>
        </w:numPr>
        <w:spacing w:before="0" w:after="0"/>
        <w:ind w:hanging="0" w:left="0"/>
        <w:rPr>
          <w:b w:val="false"/>
          <w:bCs/>
          <w:caps w:val="false"/>
          <w:smallCaps w:val="false"/>
          <w:sz w:val="20"/>
          <w:szCs w:val="20"/>
        </w:rPr>
      </w:pPr>
      <w:r>
        <w:rPr>
          <w:b w:val="false"/>
          <w:bCs/>
          <w:caps w:val="false"/>
          <w:smallCaps w:val="false"/>
          <w:sz w:val="20"/>
          <w:szCs w:val="20"/>
        </w:rPr>
        <w:t>Se redimensionaron las imágenes a una resolución de 512 píxeles de ancho, manteniendo su razón de proporción en el largo.</w:t>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t>Para solucionar el problema de la distorsión cromática presente de manera recurrente en las imágenes dermatoscópicas se decidió aplicar un filtro que normaliza sus tonalidades. De esta forma se evita que la calidez de la imagen sesgue el diagnóstico cuando se utiliza el modelo de color RGB.</w:t>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t>Con el objetivo de realizar un análisis comparativo acerca de la influencia de los vellos a la hora de clasificar, se utilizó el algoritmo de Extracción Digital de Vellos (DHR) para la extracción de estos.</w:t>
      </w:r>
    </w:p>
    <w:p>
      <w:pPr>
        <w:pStyle w:val="ENCABEZADONIVEL1"/>
        <w:numPr>
          <w:ilvl w:val="0"/>
          <w:numId w:val="0"/>
        </w:numPr>
        <w:spacing w:before="120" w:after="0"/>
        <w:ind w:hanging="0" w:left="0"/>
        <w:jc w:val="center"/>
        <w:rPr>
          <w:b w:val="false"/>
          <w:bCs/>
          <w:caps w:val="false"/>
          <w:smallCaps w:val="false"/>
          <w:color w:val="ED7D31"/>
          <w:sz w:val="20"/>
          <w:szCs w:val="20"/>
        </w:rPr>
      </w:pPr>
      <w:r>
        <w:rPr/>
        <w:drawing>
          <wp:inline distT="0" distB="0" distL="0" distR="0">
            <wp:extent cx="2671445" cy="3369310"/>
            <wp:effectExtent l="0" t="0" r="0" b="0"/>
            <wp:docPr id="4"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descr=""/>
                    <pic:cNvPicPr>
                      <a:picLocks noChangeAspect="1" noChangeArrowheads="1"/>
                    </pic:cNvPicPr>
                  </pic:nvPicPr>
                  <pic:blipFill>
                    <a:blip r:embed="rId14"/>
                    <a:stretch>
                      <a:fillRect/>
                    </a:stretch>
                  </pic:blipFill>
                  <pic:spPr bwMode="auto">
                    <a:xfrm>
                      <a:off x="0" y="0"/>
                      <a:ext cx="2671445" cy="3369310"/>
                    </a:xfrm>
                    <a:prstGeom prst="rect">
                      <a:avLst/>
                    </a:prstGeom>
                  </pic:spPr>
                </pic:pic>
              </a:graphicData>
            </a:graphic>
          </wp:inline>
        </w:drawing>
      </w:r>
    </w:p>
    <w:p>
      <w:pPr>
        <w:pStyle w:val="ENCABEZADONIVEL1"/>
        <w:numPr>
          <w:ilvl w:val="0"/>
          <w:numId w:val="0"/>
        </w:numPr>
        <w:spacing w:before="120" w:after="0"/>
        <w:ind w:hanging="0" w:left="0"/>
        <w:jc w:val="center"/>
        <w:rPr>
          <w:caps w:val="false"/>
          <w:smallCaps w:val="false"/>
          <w:sz w:val="18"/>
          <w:szCs w:val="18"/>
        </w:rPr>
      </w:pPr>
      <w:r>
        <w:rPr>
          <w:caps w:val="false"/>
          <w:smallCaps w:val="false"/>
          <w:sz w:val="18"/>
          <w:szCs w:val="18"/>
        </w:rPr>
        <w:t>Figura 2. Fases del procesamiento de las imágenes.</w:t>
      </w:r>
    </w:p>
    <w:p>
      <w:pPr>
        <w:pStyle w:val="ENCABEZADONIVEL1"/>
        <w:numPr>
          <w:ilvl w:val="0"/>
          <w:numId w:val="0"/>
        </w:numPr>
        <w:spacing w:before="120" w:after="0"/>
        <w:ind w:hanging="0" w:left="0"/>
        <w:jc w:val="center"/>
        <w:rPr>
          <w:caps w:val="false"/>
          <w:smallCaps w:val="false"/>
          <w:sz w:val="18"/>
          <w:szCs w:val="18"/>
        </w:rPr>
      </w:pPr>
      <w:r>
        <w:rPr>
          <w:caps w:val="false"/>
          <w:smallCaps w:val="false"/>
          <w:sz w:val="18"/>
          <w:szCs w:val="18"/>
        </w:rPr>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t xml:space="preserve">Para la búsqueda de la región de interés (ROI) y extracción de las características se utilizó el segmentador de Valdivié realizado en 2022[11]. Este sistema presenta una arquitectura U-Net que recibe como entrada una imagen dermatoscópica con modelo de color RGB y resolución de 128 de ancho por 128 de largo. Finalmente, devuelve una máscara binaria con la misma resolución. Para mejorar los resultados de la segmentación se aplicó previamente sobre la imagen un filtro de Ecualización de Histograma Adaptativo Limitado por Contraste (CLAHE). El segmentador de imágenes </w:t>
      </w:r>
      <w:r>
        <w:rPr>
          <w:b w:val="false"/>
          <w:bCs/>
          <w:caps w:val="false"/>
          <w:smallCaps w:val="false"/>
          <w:sz w:val="20"/>
          <w:szCs w:val="20"/>
        </w:rPr>
        <w:t>presentó en algunos casos</w:t>
      </w:r>
      <w:r>
        <w:rPr>
          <w:b w:val="false"/>
          <w:bCs/>
          <w:caps w:val="false"/>
          <w:smallCaps w:val="false"/>
          <w:sz w:val="20"/>
          <w:szCs w:val="20"/>
        </w:rPr>
        <w:t xml:space="preserve"> extracciones incompletas de </w:t>
      </w:r>
      <w:r>
        <w:rPr>
          <w:b w:val="false"/>
          <w:bCs/>
          <w:caps w:val="false"/>
          <w:smallCaps w:val="false"/>
          <w:sz w:val="20"/>
          <w:szCs w:val="20"/>
        </w:rPr>
        <w:t>las</w:t>
      </w:r>
      <w:r>
        <w:rPr>
          <w:b w:val="false"/>
          <w:bCs/>
          <w:caps w:val="false"/>
          <w:smallCaps w:val="false"/>
          <w:sz w:val="20"/>
          <w:szCs w:val="20"/>
        </w:rPr>
        <w:t xml:space="preserve"> lesiones </w:t>
      </w:r>
      <w:r>
        <w:rPr>
          <w:b w:val="false"/>
          <w:bCs/>
          <w:caps w:val="false"/>
          <w:smallCaps w:val="false"/>
          <w:sz w:val="20"/>
          <w:szCs w:val="20"/>
        </w:rPr>
        <w:t>o adición de zonas externas a estas</w:t>
      </w:r>
      <w:r>
        <w:rPr>
          <w:b w:val="false"/>
          <w:bCs/>
          <w:caps w:val="false"/>
          <w:smallCaps w:val="false"/>
          <w:sz w:val="20"/>
          <w:szCs w:val="20"/>
        </w:rPr>
        <w:t>, requiriendo correcciones manuales en 8500 de 25331 imágenes, destacando la necesidad de investigar el impacto en los resultados finales (Figura 3).</w:t>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r>
    </w:p>
    <w:p>
      <w:pPr>
        <w:pStyle w:val="ENCABEZADONIVEL1"/>
        <w:numPr>
          <w:ilvl w:val="0"/>
          <w:numId w:val="0"/>
        </w:numPr>
        <w:spacing w:before="120" w:after="0"/>
        <w:ind w:hanging="0" w:left="0"/>
        <w:jc w:val="center"/>
        <w:rPr>
          <w:caps w:val="false"/>
          <w:smallCaps w:val="false"/>
          <w:sz w:val="18"/>
          <w:szCs w:val="18"/>
          <w:highlight w:val="yellow"/>
        </w:rPr>
      </w:pPr>
      <w:r>
        <w:rPr/>
        <w:drawing>
          <wp:inline distT="0" distB="0" distL="0" distR="0">
            <wp:extent cx="2937510" cy="713105"/>
            <wp:effectExtent l="0" t="0" r="0" b="0"/>
            <wp:docPr id="5"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
                    <pic:cNvPicPr>
                      <a:picLocks noChangeAspect="1" noChangeArrowheads="1"/>
                    </pic:cNvPicPr>
                  </pic:nvPicPr>
                  <pic:blipFill>
                    <a:blip r:embed="rId15"/>
                    <a:stretch>
                      <a:fillRect/>
                    </a:stretch>
                  </pic:blipFill>
                  <pic:spPr bwMode="auto">
                    <a:xfrm>
                      <a:off x="0" y="0"/>
                      <a:ext cx="2937510" cy="713105"/>
                    </a:xfrm>
                    <a:prstGeom prst="rect">
                      <a:avLst/>
                    </a:prstGeom>
                  </pic:spPr>
                </pic:pic>
              </a:graphicData>
            </a:graphic>
          </wp:inline>
        </w:drawing>
      </w:r>
    </w:p>
    <w:p>
      <w:pPr>
        <w:pStyle w:val="ENCABEZADONIVEL1"/>
        <w:numPr>
          <w:ilvl w:val="0"/>
          <w:numId w:val="0"/>
        </w:numPr>
        <w:spacing w:before="120" w:after="0"/>
        <w:ind w:hanging="0" w:left="0"/>
        <w:jc w:val="center"/>
        <w:rPr>
          <w:caps w:val="false"/>
          <w:smallCaps w:val="false"/>
          <w:sz w:val="18"/>
          <w:szCs w:val="18"/>
        </w:rPr>
      </w:pPr>
      <w:r>
        <w:rPr>
          <w:caps w:val="false"/>
          <w:smallCaps w:val="false"/>
          <w:sz w:val="18"/>
          <w:szCs w:val="18"/>
        </w:rPr>
        <w:t>Figura 3. Resultados en las fases de la segmentación.</w:t>
      </w:r>
    </w:p>
    <w:p>
      <w:pPr>
        <w:pStyle w:val="ENCABEZADONIVEL1"/>
        <w:numPr>
          <w:ilvl w:val="0"/>
          <w:numId w:val="0"/>
        </w:numPr>
        <w:spacing w:before="120" w:after="0"/>
        <w:ind w:hanging="0" w:left="0"/>
        <w:jc w:val="center"/>
        <w:rPr>
          <w:caps w:val="false"/>
          <w:smallCaps w:val="false"/>
          <w:sz w:val="18"/>
          <w:szCs w:val="18"/>
        </w:rPr>
      </w:pPr>
      <w:r>
        <w:rPr>
          <w:caps w:val="false"/>
          <w:smallCaps w:val="false"/>
          <w:sz w:val="18"/>
          <w:szCs w:val="18"/>
        </w:rPr>
      </w:r>
    </w:p>
    <w:p>
      <w:pPr>
        <w:pStyle w:val="ENCABEZADONIVEL1"/>
        <w:numPr>
          <w:ilvl w:val="0"/>
          <w:numId w:val="0"/>
        </w:numPr>
        <w:spacing w:before="60" w:after="0"/>
        <w:ind w:hanging="0" w:left="0"/>
        <w:rPr>
          <w:bCs/>
          <w:i/>
          <w:i/>
          <w:iCs/>
          <w:caps w:val="false"/>
          <w:smallCaps w:val="false"/>
        </w:rPr>
      </w:pPr>
      <w:r>
        <w:rPr>
          <w:bCs/>
          <w:i/>
          <w:iCs/>
          <w:caps w:val="false"/>
          <w:smallCaps w:val="false"/>
        </w:rPr>
        <w:t>2.2.3</w:t>
      </w:r>
      <w:r>
        <w:rPr>
          <w:i/>
          <w:iCs/>
          <w:caps w:val="false"/>
          <w:smallCaps w:val="false"/>
        </w:rPr>
        <w:t xml:space="preserve"> Evaluación y análisis de </w:t>
      </w:r>
      <w:r>
        <w:rPr>
          <w:bCs/>
          <w:i/>
          <w:iCs/>
          <w:caps w:val="false"/>
          <w:smallCaps w:val="false"/>
        </w:rPr>
        <w:t>los diferentes modelos en las distintas fases de resolución</w:t>
      </w:r>
    </w:p>
    <w:p>
      <w:pPr>
        <w:pStyle w:val="ENCABEZADONIVEL1"/>
        <w:numPr>
          <w:ilvl w:val="0"/>
          <w:numId w:val="0"/>
        </w:numPr>
        <w:spacing w:before="60" w:after="0"/>
        <w:ind w:hanging="0" w:left="0"/>
        <w:rPr>
          <w:b w:val="false"/>
          <w:caps w:val="false"/>
          <w:smallCaps w:val="false"/>
          <w:sz w:val="20"/>
          <w:szCs w:val="20"/>
        </w:rPr>
      </w:pPr>
      <w:r>
        <w:rPr>
          <w:b w:val="false"/>
          <w:caps w:val="false"/>
          <w:smallCaps w:val="false"/>
          <w:sz w:val="20"/>
          <w:szCs w:val="20"/>
        </w:rPr>
        <w:t>Después de detallar cada fase de la propuesta, se presenta en la figura 4 el flujo del sistema. La fase siguiente implica la evaluación de varios modelos de clasificación analizados primero con ocho clases (</w:t>
      </w:r>
      <w:r>
        <w:rPr>
          <w:b w:val="false"/>
          <w:bCs/>
          <w:caps w:val="false"/>
          <w:smallCaps w:val="false"/>
          <w:sz w:val="20"/>
          <w:szCs w:val="20"/>
        </w:rPr>
        <w:t>BCC, SCC, DF, VASC, MEL, NV, AK y BKL</w:t>
      </w:r>
      <w:r>
        <w:rPr>
          <w:b w:val="false"/>
          <w:caps w:val="false"/>
          <w:smallCaps w:val="false"/>
          <w:sz w:val="20"/>
          <w:szCs w:val="20"/>
        </w:rPr>
        <w:t>) y posteriormente con las cuatro clases más relevantes para el diagnóstico dermatológico (BCC, SCC, MEL y misceláneas o MISC).</w:t>
      </w:r>
    </w:p>
    <w:p>
      <w:pPr>
        <w:pStyle w:val="ENCABEZADONIVEL1"/>
        <w:numPr>
          <w:ilvl w:val="0"/>
          <w:numId w:val="0"/>
        </w:numPr>
        <w:spacing w:before="60" w:after="0"/>
        <w:ind w:hanging="0" w:left="0"/>
        <w:rPr>
          <w:b w:val="false"/>
          <w:caps w:val="false"/>
          <w:smallCaps w:val="false"/>
          <w:sz w:val="20"/>
          <w:szCs w:val="20"/>
        </w:rPr>
      </w:pPr>
      <w:r>
        <w:rPr>
          <w:b w:val="false"/>
          <w:caps w:val="false"/>
          <w:smallCaps w:val="false"/>
          <w:sz w:val="20"/>
          <w:szCs w:val="20"/>
        </w:rPr>
      </w:r>
    </w:p>
    <w:p>
      <w:pPr>
        <w:pStyle w:val="ENCABEZADONIVEL1"/>
        <w:numPr>
          <w:ilvl w:val="0"/>
          <w:numId w:val="0"/>
        </w:numPr>
        <w:spacing w:before="120" w:after="0"/>
        <w:ind w:hanging="0" w:left="0"/>
        <w:jc w:val="center"/>
        <w:rPr>
          <w:caps w:val="false"/>
          <w:smallCaps w:val="false"/>
          <w:sz w:val="18"/>
          <w:szCs w:val="18"/>
        </w:rPr>
      </w:pPr>
      <w:r>
        <w:rPr/>
        <w:drawing>
          <wp:inline distT="0" distB="0" distL="0" distR="0">
            <wp:extent cx="2930525" cy="1951355"/>
            <wp:effectExtent l="0" t="0" r="0" b="0"/>
            <wp:docPr id="6"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descr=""/>
                    <pic:cNvPicPr>
                      <a:picLocks noChangeAspect="1" noChangeArrowheads="1"/>
                    </pic:cNvPicPr>
                  </pic:nvPicPr>
                  <pic:blipFill>
                    <a:blip r:embed="rId16"/>
                    <a:stretch>
                      <a:fillRect/>
                    </a:stretch>
                  </pic:blipFill>
                  <pic:spPr bwMode="auto">
                    <a:xfrm>
                      <a:off x="0" y="0"/>
                      <a:ext cx="2930525" cy="1951355"/>
                    </a:xfrm>
                    <a:prstGeom prst="rect">
                      <a:avLst/>
                    </a:prstGeom>
                  </pic:spPr>
                </pic:pic>
              </a:graphicData>
            </a:graphic>
          </wp:inline>
        </w:drawing>
      </w:r>
      <w:r>
        <w:rPr>
          <w:caps w:val="false"/>
          <w:smallCaps w:val="false"/>
          <w:sz w:val="18"/>
          <w:szCs w:val="18"/>
        </w:rPr>
        <w:t>Figura 4. Esquema de trabajo del sistema propuesto.</w:t>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t xml:space="preserve">En la Tabla II se muestra el rendimiento, </w:t>
      </w:r>
      <w:r>
        <w:rPr>
          <w:b w:val="false"/>
          <w:bCs/>
          <w:caps w:val="false"/>
          <w:smallCaps w:val="false"/>
          <w:sz w:val="20"/>
          <w:szCs w:val="20"/>
        </w:rPr>
        <w:t xml:space="preserve">teniendo en cuenta la métrica </w:t>
      </w:r>
      <w:r>
        <w:rPr>
          <w:b w:val="false"/>
          <w:bCs/>
          <w:i/>
          <w:iCs/>
          <w:caps w:val="false"/>
          <w:smallCaps w:val="false"/>
          <w:sz w:val="20"/>
          <w:szCs w:val="20"/>
        </w:rPr>
        <w:t>accuracy,</w:t>
      </w:r>
      <w:r>
        <w:rPr>
          <w:b w:val="false"/>
          <w:bCs/>
          <w:caps w:val="false"/>
          <w:smallCaps w:val="false"/>
          <w:sz w:val="20"/>
          <w:szCs w:val="20"/>
        </w:rPr>
        <w:t xml:space="preserve"> de los mejores modelos en la evaluación de los datos de prueba para el diagnóstico de las 8 clases. Se incluye la entrada original, que corresponde a las características con el aumento de datos inicial y sin correcciones de segmentación. Se observa una ligera mejoría en la eficacia de los algoritmos al no eliminar los vellos. Se descarta el algoritmo K vecinos cercanos (KNN) por bajo rendimiento.</w:t>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r>
    </w:p>
    <w:p>
      <w:pPr>
        <w:pStyle w:val="Caption1"/>
        <w:keepNext w:val="true"/>
        <w:spacing w:before="120" w:after="0"/>
        <w:ind w:hanging="0"/>
        <w:rPr/>
      </w:pPr>
      <w:r>
        <w:rPr/>
        <w:t xml:space="preserve">Tabla </w:t>
      </w:r>
      <w:r>
        <w:rPr/>
        <w:fldChar w:fldCharType="begin"/>
      </w:r>
      <w:r>
        <w:rPr/>
        <w:instrText xml:space="preserve"> SEQ Tabla \* ROMAN </w:instrText>
      </w:r>
      <w:r>
        <w:rPr/>
        <w:fldChar w:fldCharType="separate"/>
      </w:r>
      <w:r>
        <w:rPr/>
        <w:t>II</w:t>
      </w:r>
      <w:r>
        <w:rPr/>
        <w:fldChar w:fldCharType="end"/>
      </w:r>
      <w:r>
        <w:rPr/>
        <w:t xml:space="preserve"> Resultados de fase experimental sobre segmentación y extracción de vellos en 8 clases.</w:t>
      </w:r>
    </w:p>
    <w:tbl>
      <w:tblPr>
        <w:tblStyle w:val="Tablaconcuadrcula"/>
        <w:tblW w:w="462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57"/>
        <w:gridCol w:w="861"/>
        <w:gridCol w:w="1045"/>
        <w:gridCol w:w="811"/>
        <w:gridCol w:w="1047"/>
      </w:tblGrid>
      <w:tr>
        <w:trPr/>
        <w:tc>
          <w:tcPr>
            <w:tcW w:w="857" w:type="dxa"/>
            <w:vMerge w:val="restart"/>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t>Modelos</w:t>
            </w:r>
          </w:p>
        </w:tc>
        <w:tc>
          <w:tcPr>
            <w:tcW w:w="1906" w:type="dxa"/>
            <w:gridSpan w:val="2"/>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t>Sin Vellos/Multiclases</w:t>
            </w:r>
          </w:p>
        </w:tc>
        <w:tc>
          <w:tcPr>
            <w:tcW w:w="1858" w:type="dxa"/>
            <w:gridSpan w:val="2"/>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t>Con Vellos/Multiclases</w:t>
            </w:r>
          </w:p>
        </w:tc>
      </w:tr>
      <w:tr>
        <w:trPr/>
        <w:tc>
          <w:tcPr>
            <w:tcW w:w="857" w:type="dxa"/>
            <w:vMerge w:val="continue"/>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r>
          </w:p>
        </w:tc>
        <w:tc>
          <w:tcPr>
            <w:tcW w:w="861" w:type="dxa"/>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t>Entrada Original</w:t>
            </w:r>
          </w:p>
        </w:tc>
        <w:tc>
          <w:tcPr>
            <w:tcW w:w="1045" w:type="dxa"/>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t>8500 correcciones</w:t>
            </w:r>
          </w:p>
        </w:tc>
        <w:tc>
          <w:tcPr>
            <w:tcW w:w="811" w:type="dxa"/>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t>Entrada Original</w:t>
            </w:r>
          </w:p>
        </w:tc>
        <w:tc>
          <w:tcPr>
            <w:tcW w:w="1047" w:type="dxa"/>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t>8500 correcciones</w:t>
            </w:r>
          </w:p>
        </w:tc>
      </w:tr>
      <w:tr>
        <w:trPr/>
        <w:tc>
          <w:tcPr>
            <w:tcW w:w="857"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KNN</w:t>
            </w:r>
          </w:p>
        </w:tc>
        <w:tc>
          <w:tcPr>
            <w:tcW w:w="861"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29.9%</w:t>
            </w:r>
          </w:p>
        </w:tc>
        <w:tc>
          <w:tcPr>
            <w:tcW w:w="1045"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31.7%</w:t>
            </w:r>
          </w:p>
        </w:tc>
        <w:tc>
          <w:tcPr>
            <w:tcW w:w="811"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31.2%</w:t>
            </w:r>
          </w:p>
        </w:tc>
        <w:tc>
          <w:tcPr>
            <w:tcW w:w="1047"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35.6%</w:t>
            </w:r>
          </w:p>
        </w:tc>
      </w:tr>
      <w:tr>
        <w:trPr/>
        <w:tc>
          <w:tcPr>
            <w:tcW w:w="857" w:type="dxa"/>
            <w:tcBorders/>
            <w:vAlign w:val="center"/>
          </w:tcPr>
          <w:p>
            <w:pPr>
              <w:pStyle w:val="ENCABEZADONIVEL1"/>
              <w:numPr>
                <w:ilvl w:val="0"/>
                <w:numId w:val="0"/>
              </w:numPr>
              <w:spacing w:before="60" w:after="0"/>
              <w:ind w:hanging="720" w:left="72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DT</w:t>
            </w:r>
            <w:r>
              <w:rPr>
                <w:rStyle w:val="FootnoteReference"/>
                <w:rFonts w:eastAsia="Times New Roman" w:cs="Times New Roman"/>
                <w:b w:val="false"/>
                <w:bCs/>
                <w:caps w:val="false"/>
                <w:smallCaps w:val="false"/>
                <w:kern w:val="0"/>
                <w:sz w:val="16"/>
                <w:szCs w:val="16"/>
                <w:lang w:val="es-ES" w:eastAsia="es-ES"/>
              </w:rPr>
              <w:footnoteReference w:id="2"/>
            </w:r>
          </w:p>
        </w:tc>
        <w:tc>
          <w:tcPr>
            <w:tcW w:w="861"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52.0%</w:t>
            </w:r>
          </w:p>
        </w:tc>
        <w:tc>
          <w:tcPr>
            <w:tcW w:w="1045"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53.3%</w:t>
            </w:r>
          </w:p>
        </w:tc>
        <w:tc>
          <w:tcPr>
            <w:tcW w:w="811"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53.9%</w:t>
            </w:r>
          </w:p>
        </w:tc>
        <w:tc>
          <w:tcPr>
            <w:tcW w:w="1047"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55.3%</w:t>
            </w:r>
          </w:p>
        </w:tc>
      </w:tr>
      <w:tr>
        <w:trPr/>
        <w:tc>
          <w:tcPr>
            <w:tcW w:w="857"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RF</w:t>
            </w:r>
          </w:p>
        </w:tc>
        <w:tc>
          <w:tcPr>
            <w:tcW w:w="861"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69.1%</w:t>
            </w:r>
          </w:p>
        </w:tc>
        <w:tc>
          <w:tcPr>
            <w:tcW w:w="1045"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72.9%</w:t>
            </w:r>
          </w:p>
        </w:tc>
        <w:tc>
          <w:tcPr>
            <w:tcW w:w="811"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70.3%</w:t>
            </w:r>
          </w:p>
        </w:tc>
        <w:tc>
          <w:tcPr>
            <w:tcW w:w="1047"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73.9%</w:t>
            </w:r>
          </w:p>
        </w:tc>
      </w:tr>
      <w:tr>
        <w:trPr/>
        <w:tc>
          <w:tcPr>
            <w:tcW w:w="857"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XGBoost</w:t>
            </w:r>
          </w:p>
        </w:tc>
        <w:tc>
          <w:tcPr>
            <w:tcW w:w="861"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68.5%</w:t>
            </w:r>
          </w:p>
        </w:tc>
        <w:tc>
          <w:tcPr>
            <w:tcW w:w="1045"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71.1%</w:t>
            </w:r>
          </w:p>
        </w:tc>
        <w:tc>
          <w:tcPr>
            <w:tcW w:w="811"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70.1%</w:t>
            </w:r>
          </w:p>
        </w:tc>
        <w:tc>
          <w:tcPr>
            <w:tcW w:w="1047"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73.4%</w:t>
            </w:r>
          </w:p>
        </w:tc>
      </w:tr>
    </w:tbl>
    <w:p>
      <w:pPr>
        <w:pStyle w:val="ENCABEZADONIVEL1"/>
        <w:numPr>
          <w:ilvl w:val="0"/>
          <w:numId w:val="0"/>
        </w:numPr>
        <w:spacing w:before="60" w:after="0"/>
        <w:ind w:hanging="0" w:left="0"/>
        <w:rPr>
          <w:caps w:val="false"/>
          <w:smallCaps w:val="false"/>
          <w:sz w:val="18"/>
          <w:szCs w:val="18"/>
        </w:rPr>
      </w:pPr>
      <w:r>
        <w:rPr>
          <w:caps w:val="false"/>
          <w:smallCaps w:val="false"/>
          <w:sz w:val="18"/>
          <w:szCs w:val="18"/>
        </w:rPr>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t xml:space="preserve">En la Tabla III se muestra el rendimiento de los modelos en la evaluación de los datos de prueba para el diagnóstico de las 8 clases con vellos y a partir de las 8500 correcciones en la segmentación </w:t>
      </w:r>
      <w:r>
        <w:rPr>
          <w:b w:val="false"/>
          <w:bCs/>
          <w:caps w:val="false"/>
          <w:smallCaps w:val="false"/>
          <w:sz w:val="20"/>
          <w:szCs w:val="20"/>
        </w:rPr>
        <w:t>agregando</w:t>
      </w:r>
      <w:r>
        <w:rPr>
          <w:b w:val="false"/>
          <w:bCs/>
          <w:caps w:val="false"/>
          <w:smallCaps w:val="false"/>
          <w:sz w:val="20"/>
          <w:szCs w:val="20"/>
        </w:rPr>
        <w:t xml:space="preserve"> una máquina potenciadora de gradientes de luz (LightGBM). Se observa una mejoría en la eficacia de los algoritmos al incorporar el histograma de colores al vector de características. </w:t>
      </w:r>
      <w:r>
        <w:rPr>
          <w:b w:val="false"/>
          <w:bCs/>
          <w:caps w:val="false"/>
          <w:smallCaps w:val="false"/>
          <w:sz w:val="20"/>
          <w:szCs w:val="20"/>
        </w:rPr>
        <w:t>Nuevamente es utilizado para valorar los resultados el porcentaje de aciertos en la clasificación.</w:t>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r>
    </w:p>
    <w:p>
      <w:pPr>
        <w:pStyle w:val="Normal"/>
        <w:widowControl/>
        <w:spacing w:before="0" w:after="0"/>
        <w:ind w:hanging="0"/>
        <w:rPr>
          <w:b/>
          <w:bCs/>
          <w:caps/>
        </w:rPr>
      </w:pPr>
      <w:r>
        <w:rPr>
          <w:b/>
          <w:bCs/>
        </w:rPr>
        <w:t xml:space="preserve">Tabla </w:t>
      </w:r>
      <w:r>
        <w:rPr>
          <w:b/>
          <w:bCs/>
        </w:rPr>
        <w:fldChar w:fldCharType="begin"/>
      </w:r>
      <w:r>
        <w:rPr>
          <w:b/>
          <w:bCs/>
        </w:rPr>
        <w:instrText xml:space="preserve"> SEQ Tabla \* ROMAN </w:instrText>
      </w:r>
      <w:r>
        <w:rPr>
          <w:b/>
          <w:bCs/>
        </w:rPr>
        <w:fldChar w:fldCharType="separate"/>
      </w:r>
      <w:r>
        <w:rPr>
          <w:b/>
          <w:bCs/>
        </w:rPr>
        <w:t>III</w:t>
      </w:r>
      <w:r>
        <w:rPr>
          <w:b/>
          <w:bCs/>
        </w:rPr>
        <w:fldChar w:fldCharType="end"/>
      </w:r>
      <w:r>
        <w:rPr>
          <w:b/>
          <w:bCs/>
        </w:rPr>
        <w:t xml:space="preserve"> Resultados de fase experimental sobre segmentación y extracción de vellos en 8 clases.</w:t>
      </w:r>
    </w:p>
    <w:tbl>
      <w:tblPr>
        <w:tblStyle w:val="Tablaconcuadrcula"/>
        <w:tblpPr w:vertAnchor="text" w:horzAnchor="margin" w:leftFromText="141" w:rightFromText="141" w:tblpX="0" w:tblpY="108"/>
        <w:tblW w:w="4786"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928"/>
        <w:gridCol w:w="1360"/>
        <w:gridCol w:w="1346"/>
        <w:gridCol w:w="1151"/>
      </w:tblGrid>
      <w:tr>
        <w:trPr/>
        <w:tc>
          <w:tcPr>
            <w:tcW w:w="928" w:type="dxa"/>
            <w:vMerge w:val="restart"/>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t>Modelos</w:t>
            </w:r>
          </w:p>
        </w:tc>
        <w:tc>
          <w:tcPr>
            <w:tcW w:w="3857" w:type="dxa"/>
            <w:gridSpan w:val="3"/>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t>Con Vellos/8 Clases</w:t>
            </w:r>
          </w:p>
        </w:tc>
      </w:tr>
      <w:tr>
        <w:trPr/>
        <w:tc>
          <w:tcPr>
            <w:tcW w:w="928" w:type="dxa"/>
            <w:vMerge w:val="continue"/>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r>
          </w:p>
        </w:tc>
        <w:tc>
          <w:tcPr>
            <w:tcW w:w="1360" w:type="dxa"/>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t>8500 correcciones</w:t>
            </w:r>
          </w:p>
        </w:tc>
        <w:tc>
          <w:tcPr>
            <w:tcW w:w="1346" w:type="dxa"/>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t>Con Histograma</w:t>
            </w:r>
          </w:p>
        </w:tc>
        <w:tc>
          <w:tcPr>
            <w:tcW w:w="1151" w:type="dxa"/>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t>Datos más Variados</w:t>
            </w:r>
          </w:p>
        </w:tc>
      </w:tr>
      <w:tr>
        <w:trPr/>
        <w:tc>
          <w:tcPr>
            <w:tcW w:w="928"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DT</w:t>
            </w:r>
          </w:p>
        </w:tc>
        <w:tc>
          <w:tcPr>
            <w:tcW w:w="1360"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55.3%</w:t>
            </w:r>
          </w:p>
        </w:tc>
        <w:tc>
          <w:tcPr>
            <w:tcW w:w="1346"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57.0%</w:t>
            </w:r>
          </w:p>
        </w:tc>
        <w:tc>
          <w:tcPr>
            <w:tcW w:w="1151"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61.0%</w:t>
            </w:r>
          </w:p>
        </w:tc>
      </w:tr>
      <w:tr>
        <w:trPr/>
        <w:tc>
          <w:tcPr>
            <w:tcW w:w="928"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RF</w:t>
            </w:r>
          </w:p>
        </w:tc>
        <w:tc>
          <w:tcPr>
            <w:tcW w:w="1360"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73.9%</w:t>
            </w:r>
          </w:p>
        </w:tc>
        <w:tc>
          <w:tcPr>
            <w:tcW w:w="1346"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76.7%</w:t>
            </w:r>
          </w:p>
        </w:tc>
        <w:tc>
          <w:tcPr>
            <w:tcW w:w="1151"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84.3%</w:t>
            </w:r>
          </w:p>
        </w:tc>
      </w:tr>
      <w:tr>
        <w:trPr/>
        <w:tc>
          <w:tcPr>
            <w:tcW w:w="928"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XGBoost</w:t>
            </w:r>
          </w:p>
        </w:tc>
        <w:tc>
          <w:tcPr>
            <w:tcW w:w="1360"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73.4%</w:t>
            </w:r>
          </w:p>
        </w:tc>
        <w:tc>
          <w:tcPr>
            <w:tcW w:w="1346"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77.9%</w:t>
            </w:r>
          </w:p>
        </w:tc>
        <w:tc>
          <w:tcPr>
            <w:tcW w:w="1151"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85.5%</w:t>
            </w:r>
          </w:p>
        </w:tc>
      </w:tr>
      <w:tr>
        <w:trPr/>
        <w:tc>
          <w:tcPr>
            <w:tcW w:w="928"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LightGBM</w:t>
            </w:r>
          </w:p>
        </w:tc>
        <w:tc>
          <w:tcPr>
            <w:tcW w:w="1360"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76.2%</w:t>
            </w:r>
          </w:p>
        </w:tc>
        <w:tc>
          <w:tcPr>
            <w:tcW w:w="1346"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78.8%</w:t>
            </w:r>
          </w:p>
        </w:tc>
        <w:tc>
          <w:tcPr>
            <w:tcW w:w="1151"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88.3%</w:t>
            </w:r>
          </w:p>
        </w:tc>
      </w:tr>
    </w:tbl>
    <w:p>
      <w:pPr>
        <w:pStyle w:val="Normal"/>
        <w:widowControl/>
        <w:spacing w:before="0" w:after="0"/>
        <w:ind w:hanging="0"/>
        <w:jc w:val="center"/>
        <w:rPr>
          <w:b/>
          <w:bCs/>
          <w:caps/>
        </w:rPr>
      </w:pPr>
      <w:r>
        <w:rPr>
          <w:b/>
          <w:bCs/>
          <w:caps/>
        </w:rPr>
      </w:r>
    </w:p>
    <w:p>
      <w:pPr>
        <w:pStyle w:val="Normal"/>
        <w:widowControl/>
        <w:spacing w:before="0" w:after="0"/>
        <w:ind w:hanging="0"/>
        <w:jc w:val="center"/>
        <w:rPr>
          <w:b/>
          <w:bCs/>
          <w:caps/>
        </w:rPr>
      </w:pPr>
      <w:r>
        <w:rPr>
          <w:b/>
          <w:bCs/>
          <w:caps/>
        </w:rPr>
      </w:r>
    </w:p>
    <w:p>
      <w:pPr>
        <w:pStyle w:val="Normal"/>
        <w:widowControl/>
        <w:spacing w:before="0" w:after="0"/>
        <w:ind w:hanging="0"/>
        <w:rPr/>
      </w:pPr>
      <w:r>
        <w:rPr/>
        <w:t>El modelo que arrojó mejores resultados fue el basado en el algoritmo LightGBM. La figura 5 muestra detalles del entrenamiento del modelo.</w:t>
      </w:r>
    </w:p>
    <w:p>
      <w:pPr>
        <w:pStyle w:val="ENCABEZADONIVEL1"/>
        <w:numPr>
          <w:ilvl w:val="0"/>
          <w:numId w:val="0"/>
        </w:numPr>
        <w:spacing w:before="60" w:after="0"/>
        <w:ind w:hanging="0" w:left="0"/>
        <w:jc w:val="center"/>
        <w:rPr>
          <w:caps w:val="false"/>
          <w:smallCaps w:val="false"/>
          <w:sz w:val="18"/>
          <w:szCs w:val="18"/>
          <w:highlight w:val="yellow"/>
        </w:rPr>
      </w:pPr>
      <w:r>
        <w:rPr/>
        <w:drawing>
          <wp:inline distT="0" distB="0" distL="0" distR="0">
            <wp:extent cx="2937510" cy="1043940"/>
            <wp:effectExtent l="0" t="0" r="0" b="0"/>
            <wp:docPr id="7"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8" descr=""/>
                    <pic:cNvPicPr>
                      <a:picLocks noChangeAspect="1" noChangeArrowheads="1"/>
                    </pic:cNvPicPr>
                  </pic:nvPicPr>
                  <pic:blipFill>
                    <a:blip r:embed="rId17"/>
                    <a:stretch>
                      <a:fillRect/>
                    </a:stretch>
                  </pic:blipFill>
                  <pic:spPr bwMode="auto">
                    <a:xfrm>
                      <a:off x="0" y="0"/>
                      <a:ext cx="2937510" cy="1043940"/>
                    </a:xfrm>
                    <a:prstGeom prst="rect">
                      <a:avLst/>
                    </a:prstGeom>
                  </pic:spPr>
                </pic:pic>
              </a:graphicData>
            </a:graphic>
          </wp:inline>
        </w:drawing>
      </w:r>
    </w:p>
    <w:p>
      <w:pPr>
        <w:pStyle w:val="ENCABEZADONIVEL1"/>
        <w:numPr>
          <w:ilvl w:val="0"/>
          <w:numId w:val="0"/>
        </w:numPr>
        <w:spacing w:before="60" w:after="0"/>
        <w:ind w:hanging="0" w:left="0"/>
        <w:jc w:val="center"/>
        <w:rPr>
          <w:caps w:val="false"/>
          <w:smallCaps w:val="false"/>
          <w:sz w:val="18"/>
          <w:szCs w:val="18"/>
        </w:rPr>
      </w:pPr>
      <w:r>
        <w:rPr>
          <w:caps w:val="false"/>
          <w:smallCaps w:val="false"/>
          <w:sz w:val="18"/>
          <w:szCs w:val="18"/>
        </w:rPr>
        <w:t>Figura 5. Curvas sobre los datos de entrenamiento y prueba en LightGBM con 8 clases</w:t>
      </w:r>
    </w:p>
    <w:p>
      <w:pPr>
        <w:pStyle w:val="ENCABEZADONIVEL1"/>
        <w:numPr>
          <w:ilvl w:val="0"/>
          <w:numId w:val="0"/>
        </w:numPr>
        <w:spacing w:before="60" w:after="0"/>
        <w:ind w:hanging="0" w:left="0"/>
        <w:jc w:val="center"/>
        <w:rPr>
          <w:caps w:val="false"/>
          <w:smallCaps w:val="false"/>
          <w:sz w:val="18"/>
          <w:szCs w:val="18"/>
        </w:rPr>
      </w:pPr>
      <w:r>
        <w:rPr>
          <w:caps w:val="false"/>
          <w:smallCaps w:val="false"/>
          <w:sz w:val="18"/>
          <w:szCs w:val="18"/>
        </w:rPr>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t>Con el empleo de cuatro clases se llega a un máximo de 85.5 % aproximadamente de exactitud. Al ser una base de datos más pequeña, el agrego de patrones lineales locales (LBP) no llevó tanto tiempo en la extracción de características, y se percibe un aumento en el rendimiento de todos los modelos. Se puede comprobar que esta adición fue un acierto, aportando más características sobre texturas y en su caso particular, sobre patrones. Con el uso de PCA en 111 componentes [12], se mejora el rendimiento para bosques aleatorios (RF) y el algoritmo de aumento de gradiente extremo (XGboost), no así para LightGBM. Este último, nuevamente resultó ser el más eficaz, por lo que el análisis se hará sobre él.</w:t>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r>
    </w:p>
    <w:p>
      <w:pPr>
        <w:pStyle w:val="Caption1"/>
        <w:keepNext w:val="true"/>
        <w:spacing w:before="120" w:after="0"/>
        <w:rPr/>
      </w:pPr>
      <w:r>
        <w:rPr/>
        <w:t xml:space="preserve">Tabla </w:t>
      </w:r>
      <w:r>
        <w:rPr/>
        <w:fldChar w:fldCharType="begin"/>
      </w:r>
      <w:r>
        <w:rPr/>
        <w:instrText xml:space="preserve"> SEQ Tabla \* ROMAN </w:instrText>
      </w:r>
      <w:r>
        <w:rPr/>
        <w:fldChar w:fldCharType="separate"/>
      </w:r>
      <w:r>
        <w:rPr/>
        <w:t>IV</w:t>
      </w:r>
      <w:r>
        <w:rPr/>
        <w:fldChar w:fldCharType="end"/>
      </w:r>
      <w:r>
        <w:rPr/>
        <w:t xml:space="preserve"> Resultados de fase experimental con 4 clases y reducción de dimensiones.</w:t>
      </w:r>
    </w:p>
    <w:tbl>
      <w:tblPr>
        <w:tblStyle w:val="Tablaconcuadrcula"/>
        <w:tblW w:w="478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28"/>
        <w:gridCol w:w="1331"/>
        <w:gridCol w:w="1314"/>
        <w:gridCol w:w="1212"/>
      </w:tblGrid>
      <w:tr>
        <w:trPr/>
        <w:tc>
          <w:tcPr>
            <w:tcW w:w="928" w:type="dxa"/>
            <w:vMerge w:val="restart"/>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t>Modelos</w:t>
            </w:r>
          </w:p>
        </w:tc>
        <w:tc>
          <w:tcPr>
            <w:tcW w:w="3857" w:type="dxa"/>
            <w:gridSpan w:val="3"/>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t>Con Vellos/4 Clases</w:t>
            </w:r>
          </w:p>
        </w:tc>
      </w:tr>
      <w:tr>
        <w:trPr/>
        <w:tc>
          <w:tcPr>
            <w:tcW w:w="928" w:type="dxa"/>
            <w:vMerge w:val="continue"/>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r>
          </w:p>
        </w:tc>
        <w:tc>
          <w:tcPr>
            <w:tcW w:w="1331" w:type="dxa"/>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t>Datos más Variados</w:t>
            </w:r>
          </w:p>
        </w:tc>
        <w:tc>
          <w:tcPr>
            <w:tcW w:w="1314" w:type="dxa"/>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t>Agrego de LBP</w:t>
            </w:r>
          </w:p>
        </w:tc>
        <w:tc>
          <w:tcPr>
            <w:tcW w:w="1212" w:type="dxa"/>
            <w:tcBorders/>
            <w:vAlign w:val="center"/>
          </w:tcPr>
          <w:p>
            <w:pPr>
              <w:pStyle w:val="ENCABEZADONIVEL1"/>
              <w:numPr>
                <w:ilvl w:val="0"/>
                <w:numId w:val="0"/>
              </w:numPr>
              <w:spacing w:before="60" w:after="0"/>
              <w:ind w:hanging="0" w:left="0"/>
              <w:jc w:val="center"/>
              <w:rPr>
                <w:caps w:val="false"/>
                <w:smallCaps w:val="false"/>
                <w:sz w:val="16"/>
                <w:szCs w:val="16"/>
              </w:rPr>
            </w:pPr>
            <w:r>
              <w:rPr>
                <w:rFonts w:eastAsia="Times New Roman" w:cs="Times New Roman"/>
                <w:caps w:val="false"/>
                <w:smallCaps w:val="false"/>
                <w:kern w:val="0"/>
                <w:sz w:val="16"/>
                <w:szCs w:val="16"/>
                <w:lang w:val="es-ES" w:eastAsia="es-ES"/>
              </w:rPr>
              <w:t>111 componentes</w:t>
            </w:r>
          </w:p>
        </w:tc>
      </w:tr>
      <w:tr>
        <w:trPr/>
        <w:tc>
          <w:tcPr>
            <w:tcW w:w="928"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RF</w:t>
            </w:r>
          </w:p>
        </w:tc>
        <w:tc>
          <w:tcPr>
            <w:tcW w:w="1331"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79.0%</w:t>
            </w:r>
          </w:p>
        </w:tc>
        <w:tc>
          <w:tcPr>
            <w:tcW w:w="1314"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80.1%</w:t>
            </w:r>
          </w:p>
        </w:tc>
        <w:tc>
          <w:tcPr>
            <w:tcW w:w="1212"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82.8%</w:t>
            </w:r>
          </w:p>
        </w:tc>
      </w:tr>
      <w:tr>
        <w:trPr/>
        <w:tc>
          <w:tcPr>
            <w:tcW w:w="928"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XGBoost</w:t>
            </w:r>
          </w:p>
        </w:tc>
        <w:tc>
          <w:tcPr>
            <w:tcW w:w="1331"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83.7%</w:t>
            </w:r>
          </w:p>
        </w:tc>
        <w:tc>
          <w:tcPr>
            <w:tcW w:w="1314"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84.1%</w:t>
            </w:r>
          </w:p>
        </w:tc>
        <w:tc>
          <w:tcPr>
            <w:tcW w:w="1212"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84.2%</w:t>
            </w:r>
          </w:p>
        </w:tc>
      </w:tr>
      <w:tr>
        <w:trPr/>
        <w:tc>
          <w:tcPr>
            <w:tcW w:w="928"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LightGBM</w:t>
            </w:r>
          </w:p>
        </w:tc>
        <w:tc>
          <w:tcPr>
            <w:tcW w:w="1331"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85.5%</w:t>
            </w:r>
          </w:p>
        </w:tc>
        <w:tc>
          <w:tcPr>
            <w:tcW w:w="1314"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87.5%</w:t>
            </w:r>
          </w:p>
        </w:tc>
        <w:tc>
          <w:tcPr>
            <w:tcW w:w="1212" w:type="dxa"/>
            <w:tcBorders/>
            <w:vAlign w:val="center"/>
          </w:tcPr>
          <w:p>
            <w:pPr>
              <w:pStyle w:val="ENCABEZADONIVEL1"/>
              <w:numPr>
                <w:ilvl w:val="0"/>
                <w:numId w:val="0"/>
              </w:numPr>
              <w:spacing w:before="60" w:after="0"/>
              <w:ind w:hanging="0" w:left="0"/>
              <w:jc w:val="center"/>
              <w:rPr>
                <w:b w:val="false"/>
                <w:bCs/>
                <w:caps w:val="false"/>
                <w:smallCaps w:val="false"/>
                <w:sz w:val="16"/>
                <w:szCs w:val="16"/>
              </w:rPr>
            </w:pPr>
            <w:r>
              <w:rPr>
                <w:rFonts w:eastAsia="Times New Roman" w:cs="Times New Roman"/>
                <w:b w:val="false"/>
                <w:bCs/>
                <w:caps w:val="false"/>
                <w:smallCaps w:val="false"/>
                <w:kern w:val="0"/>
                <w:sz w:val="16"/>
                <w:szCs w:val="16"/>
                <w:lang w:val="es-ES" w:eastAsia="es-ES"/>
              </w:rPr>
              <w:t>84.1%</w:t>
            </w:r>
          </w:p>
        </w:tc>
      </w:tr>
    </w:tbl>
    <w:p>
      <w:pPr>
        <w:pStyle w:val="ENCABEZADONIVEL1"/>
        <w:numPr>
          <w:ilvl w:val="0"/>
          <w:numId w:val="0"/>
        </w:numPr>
        <w:spacing w:before="60" w:after="0"/>
        <w:ind w:hanging="0" w:left="0"/>
        <w:rPr>
          <w:caps w:val="false"/>
          <w:smallCaps w:val="false"/>
          <w:sz w:val="18"/>
          <w:szCs w:val="18"/>
        </w:rPr>
      </w:pPr>
      <w:r>
        <w:rPr>
          <w:caps w:val="false"/>
          <w:smallCaps w:val="false"/>
          <w:sz w:val="18"/>
          <w:szCs w:val="18"/>
        </w:rPr>
      </w:r>
    </w:p>
    <w:p>
      <w:pPr>
        <w:pStyle w:val="ENCABEZADONIVEL1"/>
        <w:numPr>
          <w:ilvl w:val="0"/>
          <w:numId w:val="0"/>
        </w:numPr>
        <w:spacing w:before="60" w:after="0"/>
        <w:ind w:hanging="0" w:left="0"/>
        <w:rPr>
          <w:b w:val="false"/>
          <w:bCs/>
          <w:caps w:val="false"/>
          <w:smallCaps w:val="false"/>
          <w:sz w:val="20"/>
          <w:szCs w:val="20"/>
        </w:rPr>
      </w:pPr>
      <w:r>
        <w:rPr>
          <w:b w:val="false"/>
          <w:bCs/>
          <w:caps w:val="false"/>
          <w:smallCaps w:val="false"/>
          <w:sz w:val="20"/>
          <w:szCs w:val="20"/>
        </w:rPr>
        <w:t>Igualmente se obtuvo un desempeño de 98 % de exactitud en entrenamiento y 93 % en la validación, aproximadamente. Este último, nuevamente no está tan lejano al 87.5 % obtenido en el conjunto de prueba, sin embargo, la tasa de error es un poco más dispareja. Se tiene un 0.09 de error para los datos de entrenamiento y 0.21 en los de validación. En la figura 6 se aprecia la matriz de confusión normalizada sobre los datos de prueba, en el que todas las clases tienen buen desempeño según la tasa de FP, pero en la tasa de FN, la clase MEL se ve desfavorecida como contrapartida al modelo de 8 clases. En este caso, el modelo ha clasificado algun</w:t>
      </w:r>
      <w:r>
        <w:rPr>
          <w:b w:val="false"/>
          <w:bCs/>
          <w:caps w:val="false"/>
          <w:smallCaps w:val="false"/>
          <w:sz w:val="20"/>
          <w:szCs w:val="20"/>
        </w:rPr>
        <w:t>o</w:t>
      </w:r>
      <w:r>
        <w:rPr>
          <w:b w:val="false"/>
          <w:bCs/>
          <w:caps w:val="false"/>
          <w:smallCaps w:val="false"/>
          <w:sz w:val="20"/>
          <w:szCs w:val="20"/>
        </w:rPr>
        <w:t xml:space="preserve">s </w:t>
      </w:r>
      <w:r>
        <w:rPr>
          <w:b w:val="false"/>
          <w:bCs/>
          <w:caps w:val="false"/>
          <w:smallCaps w:val="false"/>
          <w:sz w:val="20"/>
          <w:szCs w:val="20"/>
        </w:rPr>
        <w:t>casos</w:t>
      </w:r>
      <w:r>
        <w:rPr>
          <w:b w:val="false"/>
          <w:bCs/>
          <w:caps w:val="false"/>
          <w:smallCaps w:val="false"/>
          <w:sz w:val="20"/>
          <w:szCs w:val="20"/>
        </w:rPr>
        <w:t xml:space="preserve"> de MEL en MISC, sobre todo los casos de nevus melanocíticos.</w:t>
      </w:r>
    </w:p>
    <w:p>
      <w:pPr>
        <w:pStyle w:val="ENCABEZADONIVEL1"/>
        <w:numPr>
          <w:ilvl w:val="0"/>
          <w:numId w:val="0"/>
        </w:numPr>
        <w:spacing w:before="60" w:after="0"/>
        <w:ind w:hanging="0" w:left="0"/>
        <w:jc w:val="center"/>
        <w:rPr>
          <w:caps w:val="false"/>
          <w:smallCaps w:val="false"/>
          <w:sz w:val="18"/>
          <w:szCs w:val="18"/>
          <w:highlight w:val="yellow"/>
        </w:rPr>
      </w:pPr>
      <w:r>
        <w:rPr/>
        <w:drawing>
          <wp:inline distT="0" distB="0" distL="0" distR="0">
            <wp:extent cx="2930525" cy="1454150"/>
            <wp:effectExtent l="0" t="0" r="0" b="0"/>
            <wp:docPr id="8"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 descr=""/>
                    <pic:cNvPicPr>
                      <a:picLocks noChangeAspect="1" noChangeArrowheads="1"/>
                    </pic:cNvPicPr>
                  </pic:nvPicPr>
                  <pic:blipFill>
                    <a:blip r:embed="rId18"/>
                    <a:stretch>
                      <a:fillRect/>
                    </a:stretch>
                  </pic:blipFill>
                  <pic:spPr bwMode="auto">
                    <a:xfrm>
                      <a:off x="0" y="0"/>
                      <a:ext cx="2930525" cy="1454150"/>
                    </a:xfrm>
                    <a:prstGeom prst="rect">
                      <a:avLst/>
                    </a:prstGeom>
                  </pic:spPr>
                </pic:pic>
              </a:graphicData>
            </a:graphic>
          </wp:inline>
        </w:drawing>
      </w:r>
    </w:p>
    <w:p>
      <w:pPr>
        <w:pStyle w:val="ENCABEZADONIVEL1"/>
        <w:numPr>
          <w:ilvl w:val="0"/>
          <w:numId w:val="0"/>
        </w:numPr>
        <w:spacing w:before="60" w:after="0"/>
        <w:ind w:hanging="0" w:left="0"/>
        <w:jc w:val="center"/>
        <w:rPr>
          <w:caps w:val="false"/>
          <w:smallCaps w:val="false"/>
          <w:sz w:val="18"/>
          <w:szCs w:val="18"/>
        </w:rPr>
      </w:pPr>
      <w:r>
        <w:rPr>
          <w:caps w:val="false"/>
          <w:smallCaps w:val="false"/>
          <w:sz w:val="18"/>
          <w:szCs w:val="18"/>
        </w:rPr>
        <w:t>Figura 6. Matrices de confusión normalizadas en LightGBM con 4 clases</w:t>
      </w:r>
    </w:p>
    <w:p>
      <w:pPr>
        <w:pStyle w:val="ENCABEZADONIVEL1"/>
        <w:numPr>
          <w:ilvl w:val="0"/>
          <w:numId w:val="0"/>
        </w:numPr>
        <w:spacing w:before="60" w:after="0"/>
        <w:ind w:hanging="0" w:left="0"/>
        <w:jc w:val="center"/>
        <w:rPr>
          <w:caps w:val="false"/>
          <w:smallCaps w:val="false"/>
          <w:sz w:val="18"/>
          <w:szCs w:val="18"/>
        </w:rPr>
      </w:pPr>
      <w:r>
        <w:rPr>
          <w:caps w:val="false"/>
          <w:smallCaps w:val="false"/>
          <w:sz w:val="18"/>
          <w:szCs w:val="18"/>
        </w:rPr>
      </w:r>
    </w:p>
    <w:p>
      <w:pPr>
        <w:pStyle w:val="ENCABEZADONIVEL1"/>
        <w:numPr>
          <w:ilvl w:val="0"/>
          <w:numId w:val="0"/>
        </w:numPr>
        <w:spacing w:before="60" w:after="0"/>
        <w:ind w:hanging="0" w:left="0"/>
        <w:rPr/>
      </w:pPr>
      <w:r>
        <w:rPr/>
        <w:t>3. conclusiones</w:t>
      </w:r>
    </w:p>
    <w:p>
      <w:pPr>
        <w:pStyle w:val="ENCABEZADONIVEL1"/>
        <w:numPr>
          <w:ilvl w:val="0"/>
          <w:numId w:val="0"/>
        </w:numPr>
        <w:spacing w:before="0" w:after="0"/>
        <w:ind w:hanging="0" w:left="0"/>
        <w:rPr>
          <w:b w:val="false"/>
          <w:bCs/>
          <w:caps w:val="false"/>
          <w:smallCaps w:val="false"/>
          <w:sz w:val="20"/>
          <w:szCs w:val="20"/>
        </w:rPr>
      </w:pPr>
      <w:r>
        <w:rPr>
          <w:b w:val="false"/>
          <w:bCs/>
          <w:caps w:val="false"/>
          <w:smallCaps w:val="false"/>
          <w:sz w:val="20"/>
          <w:szCs w:val="20"/>
        </w:rPr>
        <w:t>Se logró una clasificación precisa de las lesiones cutáneas en imágenes dermatoscópicas a través de modelos basados en algoritmos de aprendizaje automático (machine learning).</w:t>
      </w:r>
    </w:p>
    <w:p>
      <w:pPr>
        <w:pStyle w:val="ENCABEZADONIVEL1"/>
        <w:numPr>
          <w:ilvl w:val="0"/>
          <w:numId w:val="0"/>
        </w:numPr>
        <w:spacing w:before="0" w:after="0"/>
        <w:ind w:hanging="0" w:left="0"/>
        <w:rPr>
          <w:b w:val="false"/>
          <w:bCs/>
          <w:caps w:val="false"/>
          <w:smallCaps w:val="false"/>
          <w:sz w:val="20"/>
          <w:szCs w:val="20"/>
        </w:rPr>
      </w:pPr>
      <w:r>
        <w:rPr>
          <w:b w:val="false"/>
          <w:bCs/>
          <w:caps w:val="false"/>
          <w:smallCaps w:val="false"/>
          <w:sz w:val="20"/>
          <w:szCs w:val="20"/>
        </w:rPr>
        <w:t xml:space="preserve">Los modelos que mejores resultados presentaron fueron los </w:t>
      </w:r>
      <w:r>
        <w:rPr>
          <w:b w:val="false"/>
          <w:bCs/>
          <w:i/>
          <w:iCs/>
          <w:caps w:val="false"/>
          <w:smallCaps w:val="false"/>
          <w:sz w:val="20"/>
          <w:szCs w:val="20"/>
        </w:rPr>
        <w:t>ensembles</w:t>
      </w:r>
      <w:r>
        <w:rPr>
          <w:b w:val="false"/>
          <w:bCs/>
          <w:caps w:val="false"/>
          <w:smallCaps w:val="false"/>
          <w:sz w:val="20"/>
          <w:szCs w:val="20"/>
        </w:rPr>
        <w:t>, en especial LightGBM.</w:t>
      </w:r>
    </w:p>
    <w:p>
      <w:pPr>
        <w:pStyle w:val="ENCABEZADONIVEL1"/>
        <w:numPr>
          <w:ilvl w:val="0"/>
          <w:numId w:val="0"/>
        </w:numPr>
        <w:spacing w:before="0" w:after="0"/>
        <w:ind w:hanging="0" w:left="0"/>
        <w:rPr>
          <w:b w:val="false"/>
          <w:bCs/>
          <w:caps w:val="false"/>
          <w:smallCaps w:val="false"/>
          <w:sz w:val="20"/>
          <w:szCs w:val="20"/>
        </w:rPr>
      </w:pPr>
      <w:r>
        <w:rPr>
          <w:b w:val="false"/>
          <w:bCs/>
          <w:caps w:val="false"/>
          <w:smallCaps w:val="false"/>
          <w:sz w:val="20"/>
          <w:szCs w:val="20"/>
        </w:rPr>
        <w:t>Se obtuvo una mejor clasificación manteniendo los vellos en las imágenes e incorporando el histograma de colores al vector de características.</w:t>
      </w:r>
    </w:p>
    <w:p>
      <w:pPr>
        <w:pStyle w:val="ENCABEZADONIVEL1"/>
        <w:numPr>
          <w:ilvl w:val="0"/>
          <w:numId w:val="0"/>
        </w:numPr>
        <w:spacing w:before="0" w:after="0"/>
        <w:ind w:hanging="0" w:left="0"/>
        <w:jc w:val="left"/>
        <w:rPr>
          <w:b w:val="false"/>
          <w:bCs/>
          <w:caps w:val="false"/>
          <w:smallCaps w:val="false"/>
          <w:sz w:val="20"/>
          <w:szCs w:val="20"/>
        </w:rPr>
      </w:pPr>
      <w:r>
        <w:rPr>
          <w:b w:val="false"/>
          <w:bCs/>
          <w:caps w:val="false"/>
          <w:smallCaps w:val="false"/>
          <w:sz w:val="20"/>
          <w:szCs w:val="20"/>
        </w:rPr>
        <w:t>Las características identificadas como más relevantes después de aplicar PCA al análisis con cuatro clases son mayormente las vinculadas a patrones, textura y color.</w:t>
      </w:r>
    </w:p>
    <w:p>
      <w:pPr>
        <w:pStyle w:val="ENCABEZADONIVEL1"/>
        <w:numPr>
          <w:ilvl w:val="0"/>
          <w:numId w:val="0"/>
        </w:numPr>
        <w:spacing w:before="0" w:after="0"/>
        <w:ind w:hanging="0" w:left="0"/>
        <w:jc w:val="left"/>
        <w:rPr>
          <w:b w:val="false"/>
          <w:bCs/>
          <w:caps w:val="false"/>
          <w:smallCaps w:val="false"/>
          <w:sz w:val="20"/>
          <w:szCs w:val="20"/>
        </w:rPr>
      </w:pPr>
      <w:r>
        <w:rPr>
          <w:b w:val="false"/>
          <w:bCs/>
          <w:caps w:val="false"/>
          <w:smallCaps w:val="false"/>
          <w:sz w:val="20"/>
          <w:szCs w:val="20"/>
        </w:rPr>
      </w:r>
    </w:p>
    <w:p>
      <w:pPr>
        <w:pStyle w:val="ENCABEZADONIVEL1"/>
        <w:numPr>
          <w:ilvl w:val="0"/>
          <w:numId w:val="0"/>
        </w:numPr>
        <w:spacing w:before="60" w:after="0"/>
        <w:ind w:hanging="0" w:left="-76"/>
        <w:rPr/>
      </w:pPr>
      <w:r>
        <w:rPr/>
        <w:t>referencias</w:t>
      </w:r>
    </w:p>
    <w:p>
      <w:pPr>
        <w:pStyle w:val="ListParagraph"/>
        <w:numPr>
          <w:ilvl w:val="0"/>
          <w:numId w:val="10"/>
        </w:numPr>
        <w:ind w:firstLine="357" w:left="0"/>
        <w:rPr>
          <w:rFonts w:cs="Arial"/>
          <w:lang w:val="en-US"/>
        </w:rPr>
      </w:pPr>
      <w:r>
        <w:rPr>
          <w:rFonts w:cs="Arial"/>
          <w:b/>
          <w:bCs/>
          <w:lang w:val="en-US"/>
        </w:rPr>
        <w:t>World Health Rankings:</w:t>
      </w:r>
      <w:r>
        <w:rPr>
          <w:rFonts w:cs="Arial"/>
          <w:lang w:val="en-US"/>
        </w:rPr>
        <w:t xml:space="preserve"> Cuba Skin Cancers. 2020 </w:t>
      </w:r>
      <w:hyperlink r:id="rId19">
        <w:r>
          <w:rPr>
            <w:rStyle w:val="Hyperlink"/>
            <w:rFonts w:cs="Arial"/>
            <w:lang w:val="en-US"/>
          </w:rPr>
          <w:t>www.worldlifeexpectancy.com</w:t>
        </w:r>
      </w:hyperlink>
    </w:p>
    <w:p>
      <w:pPr>
        <w:pStyle w:val="ListParagraph"/>
        <w:numPr>
          <w:ilvl w:val="0"/>
          <w:numId w:val="10"/>
        </w:numPr>
        <w:ind w:firstLine="357" w:left="0"/>
        <w:rPr>
          <w:rFonts w:cs="Arial"/>
          <w:lang w:val="en-US"/>
        </w:rPr>
      </w:pPr>
      <w:r>
        <w:rPr>
          <w:rFonts w:cs="Arial"/>
          <w:lang w:val="en-US"/>
        </w:rPr>
        <w:t>[</w:t>
      </w:r>
      <w:r>
        <w:rPr>
          <w:rFonts w:cs="Arial"/>
          <w:b/>
          <w:bCs/>
          <w:lang w:val="en-US"/>
        </w:rPr>
        <w:t>Cleveland Clinic</w:t>
      </w:r>
      <w:r>
        <w:rPr>
          <w:rFonts w:cs="Arial"/>
          <w:lang w:val="en-US"/>
        </w:rPr>
        <w:t xml:space="preserve">. Skin Cancer. 2023 </w:t>
      </w:r>
      <w:hyperlink r:id="rId20">
        <w:r>
          <w:rPr>
            <w:rStyle w:val="Hyperlink"/>
            <w:rFonts w:cs="Arial"/>
            <w:lang w:val="en-US"/>
          </w:rPr>
          <w:t>my.clevelandclinic.org</w:t>
        </w:r>
      </w:hyperlink>
    </w:p>
    <w:p>
      <w:pPr>
        <w:pStyle w:val="ListParagraph"/>
        <w:numPr>
          <w:ilvl w:val="0"/>
          <w:numId w:val="10"/>
        </w:numPr>
        <w:ind w:firstLine="357" w:left="0"/>
        <w:rPr>
          <w:rFonts w:cs="Arial"/>
          <w:lang w:val="en-US"/>
        </w:rPr>
      </w:pPr>
      <w:r>
        <w:rPr>
          <w:rFonts w:cs="Arial"/>
          <w:b/>
          <w:bCs/>
          <w:lang w:val="en-US"/>
        </w:rPr>
        <w:t>World Cancer Research Fund International</w:t>
      </w:r>
      <w:r>
        <w:rPr>
          <w:rFonts w:cs="Arial"/>
          <w:lang w:val="en-US"/>
        </w:rPr>
        <w:t xml:space="preserve">: Skin cancer statistics. 2022. </w:t>
      </w:r>
      <w:hyperlink r:id="rId21">
        <w:r>
          <w:rPr>
            <w:rStyle w:val="Hyperlink"/>
            <w:rFonts w:cs="Arial"/>
            <w:lang w:val="en-US"/>
          </w:rPr>
          <w:t>www.wcrf.org</w:t>
        </w:r>
      </w:hyperlink>
    </w:p>
    <w:p>
      <w:pPr>
        <w:pStyle w:val="ListParagraph"/>
        <w:numPr>
          <w:ilvl w:val="0"/>
          <w:numId w:val="10"/>
        </w:numPr>
        <w:ind w:firstLine="357" w:left="0"/>
        <w:rPr>
          <w:rFonts w:cs="Arial"/>
          <w:lang w:val="en-US"/>
        </w:rPr>
      </w:pPr>
      <w:r>
        <w:rPr>
          <w:rFonts w:cs="Arial"/>
          <w:b/>
          <w:bCs/>
          <w:lang w:val="en-US"/>
        </w:rPr>
        <w:t>Sarsam, S.:</w:t>
      </w:r>
      <w:r>
        <w:rPr>
          <w:rFonts w:cs="Arial"/>
          <w:lang w:val="en-US"/>
        </w:rPr>
        <w:t xml:space="preserve"> What is dermatology? DermNet, 2023. </w:t>
      </w:r>
      <w:hyperlink r:id="rId22">
        <w:r>
          <w:rPr>
            <w:rStyle w:val="Hyperlink"/>
            <w:rFonts w:cs="Arial"/>
            <w:lang w:val="en-US"/>
          </w:rPr>
          <w:t>dermnetnz.org</w:t>
        </w:r>
      </w:hyperlink>
    </w:p>
    <w:p>
      <w:pPr>
        <w:pStyle w:val="ListParagraph"/>
        <w:numPr>
          <w:ilvl w:val="0"/>
          <w:numId w:val="10"/>
        </w:numPr>
        <w:ind w:firstLine="357" w:left="0"/>
        <w:rPr>
          <w:rFonts w:cs="Arial"/>
          <w:lang w:val="en-US"/>
        </w:rPr>
      </w:pPr>
      <w:r>
        <w:rPr>
          <w:rFonts w:cs="Arial"/>
          <w:b/>
          <w:bCs/>
          <w:lang w:val="en-US"/>
        </w:rPr>
        <w:t>Marghoob, A.</w:t>
      </w:r>
      <w:r>
        <w:rPr>
          <w:rFonts w:cs="Arial"/>
          <w:lang w:val="en-US"/>
        </w:rPr>
        <w:t xml:space="preserve"> </w:t>
      </w:r>
      <w:r>
        <w:rPr>
          <w:rFonts w:cs="Arial"/>
          <w:b/>
          <w:bCs/>
          <w:lang w:val="en-US"/>
        </w:rPr>
        <w:t>y Jaimes, N</w:t>
      </w:r>
      <w:r>
        <w:rPr>
          <w:rFonts w:cs="Arial"/>
          <w:lang w:val="en-US"/>
        </w:rPr>
        <w:t xml:space="preserve">.: Overview of dermoscopy. UpToDate, 2023. </w:t>
      </w:r>
      <w:hyperlink r:id="rId23">
        <w:r>
          <w:rPr>
            <w:rStyle w:val="Hyperlink"/>
            <w:rFonts w:cs="Arial"/>
            <w:lang w:val="en-US"/>
          </w:rPr>
          <w:t>www.uptodate.com</w:t>
        </w:r>
      </w:hyperlink>
    </w:p>
    <w:p>
      <w:pPr>
        <w:pStyle w:val="ListParagraph"/>
        <w:numPr>
          <w:ilvl w:val="0"/>
          <w:numId w:val="10"/>
        </w:numPr>
        <w:ind w:firstLine="357" w:left="0"/>
        <w:rPr>
          <w:rFonts w:cs="Arial"/>
        </w:rPr>
      </w:pPr>
      <w:r>
        <w:rPr>
          <w:rFonts w:cs="Arial"/>
          <w:b/>
          <w:bCs/>
        </w:rPr>
        <w:t>Wikipedia</w:t>
      </w:r>
      <w:r>
        <w:rPr>
          <w:rFonts w:cs="Arial"/>
        </w:rPr>
        <w:t xml:space="preserve">: Dermatoscopy. 2023 </w:t>
      </w:r>
      <w:hyperlink r:id="rId24">
        <w:r>
          <w:rPr>
            <w:rStyle w:val="Hyperlink"/>
            <w:rFonts w:cs="Arial"/>
          </w:rPr>
          <w:t>en.wikipedia.org</w:t>
        </w:r>
      </w:hyperlink>
    </w:p>
    <w:p>
      <w:pPr>
        <w:pStyle w:val="ListParagraph"/>
        <w:numPr>
          <w:ilvl w:val="0"/>
          <w:numId w:val="10"/>
        </w:numPr>
        <w:ind w:firstLine="357" w:left="0"/>
        <w:rPr>
          <w:rFonts w:cs="Arial"/>
          <w:lang w:val="en-US"/>
        </w:rPr>
      </w:pPr>
      <w:r>
        <w:rPr>
          <w:rFonts w:cs="Arial"/>
          <w:b/>
          <w:bCs/>
          <w:lang w:val="en-US"/>
        </w:rPr>
        <w:t>Toffoli, L</w:t>
      </w:r>
      <w:r>
        <w:rPr>
          <w:rFonts w:cs="Arial"/>
          <w:lang w:val="en-US"/>
        </w:rPr>
        <w:t xml:space="preserve">. ABCD rule. Dermoscopedia, 2023 </w:t>
      </w:r>
      <w:hyperlink r:id="rId25">
        <w:r>
          <w:rPr>
            <w:rStyle w:val="Hyperlink"/>
            <w:rFonts w:cs="Arial"/>
            <w:lang w:val="en-US"/>
          </w:rPr>
          <w:t>dermoscopedia.org</w:t>
        </w:r>
      </w:hyperlink>
    </w:p>
    <w:p>
      <w:pPr>
        <w:pStyle w:val="ListParagraph"/>
        <w:numPr>
          <w:ilvl w:val="0"/>
          <w:numId w:val="10"/>
        </w:numPr>
        <w:ind w:firstLine="357" w:left="0"/>
        <w:rPr>
          <w:rFonts w:cs="Arial"/>
          <w:lang w:val="en-US"/>
        </w:rPr>
      </w:pPr>
      <w:r>
        <w:rPr>
          <w:rFonts w:cs="Arial"/>
          <w:b/>
          <w:bCs/>
          <w:lang w:val="en-US"/>
        </w:rPr>
        <w:t>Ludwig, S</w:t>
      </w:r>
      <w:r>
        <w:rPr>
          <w:rFonts w:cs="Arial"/>
          <w:lang w:val="en-US"/>
        </w:rPr>
        <w:t xml:space="preserve">.: Seven Point Checklist. Dermoscopedia, 2019. </w:t>
      </w:r>
      <w:hyperlink r:id="rId26">
        <w:r>
          <w:rPr>
            <w:rStyle w:val="Hyperlink"/>
            <w:rFonts w:cs="Arial"/>
            <w:lang w:val="en-US"/>
          </w:rPr>
          <w:t>dermoscopedia.org</w:t>
        </w:r>
      </w:hyperlink>
    </w:p>
    <w:p>
      <w:pPr>
        <w:pStyle w:val="ListParagraph"/>
        <w:numPr>
          <w:ilvl w:val="0"/>
          <w:numId w:val="10"/>
        </w:numPr>
        <w:ind w:firstLine="357" w:left="0"/>
        <w:rPr>
          <w:rFonts w:cs="Arial"/>
          <w:lang w:val="en-US"/>
        </w:rPr>
      </w:pPr>
      <w:r>
        <w:rPr>
          <w:rFonts w:cs="Arial"/>
          <w:b/>
          <w:bCs/>
          <w:lang w:val="en-US"/>
        </w:rPr>
        <w:t>Hoffmeyer, K.:</w:t>
      </w:r>
      <w:r>
        <w:rPr>
          <w:rFonts w:cs="Arial"/>
          <w:lang w:val="en-US"/>
        </w:rPr>
        <w:t xml:space="preserve"> Menzies Method. Dermoscopedia, 2018. </w:t>
      </w:r>
      <w:hyperlink r:id="rId27">
        <w:r>
          <w:rPr>
            <w:rStyle w:val="Hyperlink"/>
            <w:rFonts w:cs="Arial"/>
            <w:lang w:val="en-US"/>
          </w:rPr>
          <w:t>dermoscopedia.org</w:t>
        </w:r>
      </w:hyperlink>
    </w:p>
    <w:p>
      <w:pPr>
        <w:pStyle w:val="ListParagraph"/>
        <w:numPr>
          <w:ilvl w:val="0"/>
          <w:numId w:val="10"/>
        </w:numPr>
        <w:ind w:firstLine="357" w:left="0"/>
        <w:rPr>
          <w:rFonts w:cs="Arial"/>
          <w:lang w:val="en-US"/>
        </w:rPr>
      </w:pPr>
      <w:r>
        <w:rPr>
          <w:rFonts w:cs="Arial"/>
          <w:b/>
          <w:bCs/>
          <w:lang w:val="en-US"/>
        </w:rPr>
        <w:t>Toffoli, L.:</w:t>
      </w:r>
      <w:r>
        <w:rPr>
          <w:rFonts w:cs="Arial"/>
          <w:lang w:val="en-US"/>
        </w:rPr>
        <w:t xml:space="preserve"> Pattern analysis. Dermoscopedia, 2022. </w:t>
      </w:r>
      <w:hyperlink r:id="rId28">
        <w:r>
          <w:rPr>
            <w:rStyle w:val="Hyperlink"/>
            <w:rFonts w:cs="Arial"/>
            <w:lang w:val="en-US"/>
          </w:rPr>
          <w:t>dermoscopedia.org</w:t>
        </w:r>
      </w:hyperlink>
    </w:p>
    <w:p>
      <w:pPr>
        <w:pStyle w:val="ListParagraph"/>
        <w:numPr>
          <w:ilvl w:val="0"/>
          <w:numId w:val="10"/>
        </w:numPr>
        <w:ind w:firstLine="357" w:left="0"/>
        <w:rPr>
          <w:rFonts w:cs="Arial"/>
        </w:rPr>
      </w:pPr>
      <w:r>
        <w:rPr>
          <w:rFonts w:cs="Arial"/>
          <w:b/>
          <w:bCs/>
        </w:rPr>
        <w:t>Valdivié, M.:</w:t>
      </w:r>
      <w:r>
        <w:rPr>
          <w:rFonts w:cs="Arial"/>
        </w:rPr>
        <w:t xml:space="preserve"> Segmentación de imágenes dermatoscópicas utilizando la arquitectura U-Net. MATCOM. Universidad de La Habana, 2022.</w:t>
      </w:r>
    </w:p>
    <w:p>
      <w:pPr>
        <w:pStyle w:val="ListParagraph"/>
        <w:numPr>
          <w:ilvl w:val="0"/>
          <w:numId w:val="10"/>
        </w:numPr>
        <w:ind w:firstLine="357" w:left="0"/>
        <w:rPr>
          <w:rFonts w:cs="Arial"/>
          <w:lang w:val="en-US"/>
        </w:rPr>
      </w:pPr>
      <w:r>
        <w:rPr>
          <w:rFonts w:cs="Arial"/>
          <w:b/>
          <w:bCs/>
          <w:lang w:val="en-US"/>
        </w:rPr>
        <w:t>GeeksforGeeks</w:t>
      </w:r>
      <w:r>
        <w:rPr>
          <w:rFonts w:cs="Arial"/>
          <w:lang w:val="en-US"/>
        </w:rPr>
        <w:t xml:space="preserve">: Principal Component Analysis (PCA). 2023. </w:t>
      </w:r>
      <w:hyperlink r:id="rId29">
        <w:r>
          <w:rPr>
            <w:rStyle w:val="Hyperlink"/>
            <w:rFonts w:cs="Arial"/>
            <w:lang w:val="en-US"/>
          </w:rPr>
          <w:t>www.geeksforgeeks.org</w:t>
        </w:r>
      </w:hyperlink>
    </w:p>
    <w:p>
      <w:pPr>
        <w:pStyle w:val="ENCABEZADONIVEL1"/>
        <w:numPr>
          <w:ilvl w:val="0"/>
          <w:numId w:val="0"/>
        </w:numPr>
        <w:spacing w:before="60" w:after="0"/>
        <w:ind w:hanging="0" w:left="0"/>
        <w:rPr>
          <w:lang w:val="en-US"/>
        </w:rPr>
      </w:pPr>
      <w:r>
        <w:rPr>
          <w:lang w:val="en-US"/>
        </w:rPr>
      </w:r>
    </w:p>
    <w:p>
      <w:pPr>
        <w:pStyle w:val="ENCABEZADONIVEL1"/>
        <w:numPr>
          <w:ilvl w:val="0"/>
          <w:numId w:val="0"/>
        </w:numPr>
        <w:spacing w:before="60" w:after="0"/>
        <w:ind w:hanging="0" w:left="0"/>
        <w:rPr/>
      </w:pPr>
      <w:r>
        <w:rPr/>
      </w:r>
    </w:p>
    <w:p>
      <w:pPr>
        <w:pStyle w:val="ENCABEZADONIVEL1"/>
        <w:numPr>
          <w:ilvl w:val="0"/>
          <w:numId w:val="0"/>
        </w:numPr>
        <w:spacing w:before="60" w:after="0"/>
        <w:ind w:hanging="0" w:left="0"/>
        <w:rPr/>
      </w:pPr>
      <w:r>
        <w:rPr/>
        <w:t>sintesis curricular de los autores</w:t>
      </w:r>
    </w:p>
    <w:p>
      <w:pPr>
        <w:pStyle w:val="ENCABEZADONIVEL1"/>
        <w:numPr>
          <w:ilvl w:val="0"/>
          <w:numId w:val="0"/>
        </w:numPr>
        <w:spacing w:before="60" w:after="0"/>
        <w:ind w:hanging="0" w:left="0"/>
        <w:rPr/>
      </w:pPr>
      <w:r>
        <w:rPr/>
      </w:r>
    </w:p>
    <w:p>
      <w:pPr>
        <w:pStyle w:val="Normal"/>
        <w:shd w:val="clear" w:color="auto" w:fill="FFFFFF"/>
        <w:spacing w:before="0" w:after="0"/>
        <w:ind w:hanging="0"/>
        <w:rPr>
          <w:rFonts w:cs="Arial"/>
          <w:bCs/>
        </w:rPr>
      </w:pPr>
      <w:r>
        <w:rPr>
          <w:rFonts w:cs="Arial"/>
          <w:bCs/>
        </w:rPr>
        <w:t xml:space="preserve">DrC. Marta Lourdes Baguer Díaz-Romañach, </w:t>
      </w:r>
      <w:hyperlink r:id="rId30">
        <w:r>
          <w:rPr>
            <w:rStyle w:val="Hyperlink"/>
            <w:rFonts w:cs="Arial"/>
            <w:bCs/>
          </w:rPr>
          <w:t>mlbaguer@gmail.com</w:t>
        </w:r>
      </w:hyperlink>
      <w:r>
        <w:rPr>
          <w:rFonts w:cs="Arial"/>
          <w:bCs/>
        </w:rPr>
        <w:t xml:space="preserve"> ; </w:t>
      </w:r>
      <w:hyperlink r:id="rId31">
        <w:r>
          <w:rPr>
            <w:rStyle w:val="Hyperlink"/>
            <w:rFonts w:cs="Arial"/>
            <w:bCs/>
          </w:rPr>
          <w:t>mbaguer@matcom.uh.cu</w:t>
        </w:r>
      </w:hyperlink>
      <w:r>
        <w:rPr>
          <w:rFonts w:cs="Arial"/>
          <w:bCs/>
        </w:rPr>
        <w:t xml:space="preserve">  Nació el 10 de noviembre de 1960 en La Habana, Cuba. Culmina sus estudios universitarios de Licenciatura en Cibernética Matemática en 1983 y defiende su doctorado (Dr. rer. nat. Numerische Mathematik) en 1990 en la Universidad Humboldt de Berlín. Se desempeña como profesora del Departamento de Matemática Aplicada de la Facultad de Matemática y Computación de la Universidad de La Habana desde 1983 y desde 2009 como Profesora Titular. Sus líneas principales de trabajo investigativo han estado relacionadas con aplicaciones de Métodos Numéricos del Álgebra Lineal, Procesamiento de Imágenes médicas y Lingüística Computacional. Ha participado en varios proyectos nacionales e internacionales y en redes académicas. Ha sido miembro o presidente de varios tribunales de doctorado (u oponente), así como tutora de varias tesis de licenciatura, maestría y doctorado. Es autora o coautora de varios artículos publicados en revistas de alto impacto científico, nacionales e internacionales. Actualmente dirige el Programa Nacional de Ciencias Básicas y Naturales, es miembro del Consejo Científico de la facultad, coordina la Mención Matemática Numérica de la Maestría en Ciencias Matemáticas y es miembro de los consejos editoriales de las Revistas Investigación de Operaciones (UH, Cuba) y RMTA (UCR, Costa Rica). </w:t>
      </w:r>
    </w:p>
    <w:p>
      <w:pPr>
        <w:pStyle w:val="Normal"/>
        <w:shd w:val="clear" w:color="auto" w:fill="FFFFFF"/>
        <w:spacing w:before="0" w:after="0"/>
        <w:ind w:hanging="0"/>
        <w:rPr>
          <w:rFonts w:cs="Arial"/>
          <w:bCs/>
        </w:rPr>
      </w:pPr>
      <w:r>
        <w:rPr>
          <w:rFonts w:cs="Arial"/>
          <w:bCs/>
        </w:rPr>
      </w:r>
    </w:p>
    <w:p>
      <w:pPr>
        <w:pStyle w:val="Normal"/>
        <w:shd w:val="clear" w:color="auto" w:fill="FFFFFF"/>
        <w:spacing w:before="0" w:after="0"/>
        <w:ind w:hanging="0"/>
        <w:rPr>
          <w:rFonts w:cs="Arial"/>
          <w:bCs/>
        </w:rPr>
      </w:pPr>
      <w:r>
        <w:rPr>
          <w:rFonts w:cs="Arial"/>
          <w:bCs/>
        </w:rPr>
        <w:t xml:space="preserve">DrC. Rigoberto García Gómez, </w:t>
      </w:r>
      <w:hyperlink r:id="rId32">
        <w:r>
          <w:rPr>
            <w:rFonts w:cs="Arial"/>
            <w:bCs/>
          </w:rPr>
          <w:t>rigobertodermatologo@yahoo.es</w:t>
        </w:r>
      </w:hyperlink>
      <w:r>
        <w:rPr>
          <w:rFonts w:cs="Arial"/>
          <w:bCs/>
        </w:rPr>
        <w:t xml:space="preserve">   nació el 6 de junio de 1975. Doctor en Ciencias Médicas, Máster en Enfermedades Infecciosas, Especialista de primer y segundo grados en Dermatología, Especialista de primer grado en MGI. Es Titular de Dermatología, Investigador Titular y jefe del grupo nacional de Dermatología. Ha sido presidente de tribunales de promoción, estatales y de segundo grado de la especialidad, es Miembro del Tribunal Permanente de Grados Científicos y Académico de la Academia de Ciencias de Cuba. El Dr. Rigoberto García Gómez es, además, Académico de Honor de la Academia Española de Dermatología y Venereología y actualmente director de la Clínica Central Cira García. Sus líneas de investigación principales son Dermatoscopía y Cáncer de piel. Tiene en su haber 27 publicaciones en revistas nacionales y extranjeras. Ha obtenido, entre otras, las siguientes distinciones: Orden Carlos J Finlay, 2020; Medalla Jesús Menéndez, 2019; Medalla Tomás Roig, 2023; Medalla Internacionalista: 2005 y 2002; Sello de Oro de la Academia Española de Dermatología y Venerología 2017; Académico de Honor de la Academia Española de Dermatología y Venerología 2017; Premio Anual de la Academia de Ciencias de Cuba 2016; Premio Anual de Salud 2015 en la Categoría Investigación aplicada; Premio Anual de Salud 2015: Mejor Tesis Doctoral y Distinción Abnegado Combatiente Internacionalista por la Salud de los Pueblos: 2002.</w:t>
      </w:r>
    </w:p>
    <w:p>
      <w:pPr>
        <w:pStyle w:val="PiedeFiguraExplicacin"/>
        <w:rPr>
          <w:rFonts w:cs="Arial"/>
          <w:bCs/>
          <w:spacing w:val="0"/>
          <w:szCs w:val="16"/>
          <w:lang w:val="es-ES"/>
        </w:rPr>
      </w:pPr>
      <w:r>
        <w:rPr>
          <w:rFonts w:cs="Arial"/>
          <w:bCs/>
          <w:spacing w:val="0"/>
          <w:szCs w:val="16"/>
          <w:lang w:val="es-ES"/>
        </w:rPr>
      </w:r>
    </w:p>
    <w:p>
      <w:pPr>
        <w:pStyle w:val="Normal"/>
        <w:rPr>
          <w:rFonts w:cs="Arial"/>
          <w:bCs/>
          <w:sz w:val="16"/>
          <w:szCs w:val="16"/>
        </w:rPr>
      </w:pPr>
      <w:r>
        <w:rPr>
          <w:rFonts w:cs="Arial"/>
          <w:bCs/>
          <w:sz w:val="16"/>
          <w:szCs w:val="16"/>
        </w:rPr>
      </w:r>
    </w:p>
    <w:p>
      <w:pPr>
        <w:pStyle w:val="Normal"/>
        <w:spacing w:before="0" w:after="0"/>
        <w:rPr>
          <w:rFonts w:cs="Arial"/>
          <w:bCs/>
          <w:sz w:val="16"/>
          <w:szCs w:val="16"/>
        </w:rPr>
      </w:pPr>
      <w:r>
        <w:rPr>
          <w:rFonts w:cs="Arial"/>
          <w:bCs/>
          <w:sz w:val="16"/>
          <w:szCs w:val="16"/>
        </w:rPr>
      </w:r>
    </w:p>
    <w:p>
      <w:pPr>
        <w:pStyle w:val="Normal"/>
        <w:ind w:hanging="0"/>
        <w:rPr>
          <w:rFonts w:cs="Arial"/>
          <w:bCs/>
          <w:sz w:val="16"/>
          <w:szCs w:val="16"/>
        </w:rPr>
      </w:pPr>
      <w:r>
        <w:rPr>
          <w:rFonts w:cs="Arial"/>
          <w:bCs/>
          <w:sz w:val="16"/>
          <w:szCs w:val="16"/>
        </w:rPr>
      </w:r>
    </w:p>
    <w:p>
      <w:pPr>
        <w:sectPr>
          <w:footnotePr>
            <w:numFmt w:val="chicago"/>
          </w:footnotePr>
          <w:type w:val="continuous"/>
          <w:pgSz w:w="12240" w:h="15840"/>
          <w:pgMar w:left="1134" w:right="1134" w:gutter="0" w:header="360" w:top="774" w:footer="720" w:bottom="1134"/>
          <w:cols w:num="2" w:space="708" w:equalWidth="true" w:sep="false"/>
          <w:formProt w:val="false"/>
          <w:textDirection w:val="lrTb"/>
          <w:docGrid w:type="default" w:linePitch="326" w:charSpace="8192"/>
        </w:sectPr>
      </w:pPr>
    </w:p>
    <w:p>
      <w:pPr>
        <w:pStyle w:val="Normal"/>
        <w:ind w:hanging="0"/>
        <w:rPr>
          <w:rFonts w:cs="Arial"/>
          <w:bCs/>
          <w:sz w:val="16"/>
          <w:szCs w:val="16"/>
        </w:rPr>
      </w:pPr>
      <w:r>
        <w:rPr>
          <w:rFonts w:cs="Arial"/>
          <w:bCs/>
          <w:sz w:val="16"/>
          <w:szCs w:val="16"/>
        </w:rPr>
      </w:r>
    </w:p>
    <w:sectPr>
      <w:footnotePr>
        <w:numFmt w:val="chicago"/>
      </w:footnotePr>
      <w:type w:val="continuous"/>
      <w:pgSz w:w="12240" w:h="15840"/>
      <w:pgMar w:left="1134" w:right="1134" w:gutter="0" w:header="360" w:top="774" w:footer="720" w:bottom="1134"/>
      <w:formProt w:val="false"/>
      <w:textDirection w:val="lrTb"/>
      <w:docGrid w:type="default" w:linePitch="326"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swiss"/>
    <w:pitch w:val="variable"/>
  </w:font>
  <w:font w:name="Tahoma">
    <w:charset w:val="01"/>
    <w:family w:val="roman"/>
    <w:pitch w:val="variable"/>
  </w:font>
  <w:font w:name="Roboto">
    <w:charset w:val="01"/>
    <w:family w:val="roman"/>
    <w:pitch w:val="variable"/>
  </w:font>
  <w:font w:name="Symbol">
    <w:charset w:val="02"/>
    <w:family w:val="auto"/>
    <w:pitch w:val="default"/>
  </w:font>
  <w:font w:name="Arial">
    <w:charset w:val="01"/>
    <w:family w:val="swiss"/>
    <w:pitch w:val="default"/>
  </w:font>
  <w:font w:name="Wingdings">
    <w:charset w:val="02"/>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60" w:after="0"/>
      <w:jc w:val="center"/>
      <w:rPr/>
    </w:pPr>
    <w:r>
      <w:rPr>
        <w:i/>
        <w:sz w:val="16"/>
      </w:rPr>
      <w:t>“</w:t>
    </w:r>
    <w:r>
      <w:rPr>
        <w:i/>
        <w:sz w:val="16"/>
      </w:rPr>
      <w:t>IX Convención y Feria Internacional, Informática 2024”</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spacing w:before="60" w:after="0"/>
        <w:rPr/>
      </w:pPr>
      <w:r>
        <w:rPr>
          <w:rStyle w:val="Caracteresdenotaalpie"/>
        </w:rPr>
        <w:footnoteRef/>
      </w:r>
      <w:r>
        <w:rPr/>
        <w:t xml:space="preserve"> </w:t>
      </w:r>
      <w:r>
        <w:rPr/>
        <w:t>Árbol de Decisión (</w:t>
      </w:r>
      <w:r>
        <w:rPr>
          <w:i/>
          <w:iCs/>
        </w:rPr>
        <w:t>Decision Tree</w:t>
      </w:r>
      <w:r>
        <w:rPr/>
        <w:t>)</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60" w:after="0"/>
      <w:ind w:hanging="0" w:left="-1080" w:right="-1098"/>
      <w:jc w:val="center"/>
      <w:rPr/>
    </w:pPr>
    <w:r>
      <w:rPr/>
      <w:drawing>
        <wp:inline distT="0" distB="0" distL="0" distR="0">
          <wp:extent cx="6465570" cy="813435"/>
          <wp:effectExtent l="0" t="0" r="0" b="0"/>
          <wp:docPr id="1"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
                  <pic:cNvPicPr>
                    <a:picLocks noChangeAspect="1" noChangeArrowheads="1"/>
                  </pic:cNvPicPr>
                </pic:nvPicPr>
                <pic:blipFill>
                  <a:blip r:embed="rId1"/>
                  <a:stretch>
                    <a:fillRect/>
                  </a:stretch>
                </pic:blipFill>
                <pic:spPr bwMode="auto">
                  <a:xfrm>
                    <a:off x="0" y="0"/>
                    <a:ext cx="6465570" cy="81343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numFmt w:val="bullet"/>
      <w:lvlText w:val="-"/>
      <w:lvlJc w:val="left"/>
      <w:pPr>
        <w:tabs>
          <w:tab w:val="num" w:pos="601"/>
        </w:tabs>
        <w:ind w:left="340" w:firstLine="260"/>
      </w:pPr>
      <w:rPr>
        <w:rFonts w:ascii="Arial" w:hAnsi="Arial" w:cs="Arial" w:hint="default"/>
        <w:sz w:val="18"/>
        <w:szCs w:val="18"/>
      </w:rPr>
    </w:lvl>
    <w:lvl w:ilvl="1">
      <w:start w:val="0"/>
      <w:numFmt w:val="bullet"/>
      <w:lvlText w:val="-"/>
      <w:lvlJc w:val="left"/>
      <w:pPr>
        <w:tabs>
          <w:tab w:val="num" w:pos="1440"/>
        </w:tabs>
        <w:ind w:left="1440" w:hanging="360"/>
      </w:pPr>
      <w:rPr>
        <w:rFonts w:ascii="Arial" w:hAnsi="Arial" w:cs="Arial" w:hint="default"/>
        <w:sz w:val="18"/>
        <w:szCs w:val="18"/>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100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4">
    <w:lvl w:ilvl="0">
      <w:start w:val="1"/>
      <w:numFmt w:val="decimal"/>
      <w:lvlText w:val="%1."/>
      <w:lvlJc w:val="left"/>
      <w:pPr>
        <w:tabs>
          <w:tab w:val="num" w:pos="710"/>
        </w:tabs>
        <w:ind w:left="710" w:hanging="284"/>
      </w:pPr>
      <w:rPr>
        <w:i w:val="false"/>
        <w:color w:val="auto"/>
      </w:rPr>
    </w:lvl>
    <w:lvl w:ilvl="1">
      <w:start w:val="0"/>
      <w:numFmt w:val="none"/>
      <w:suff w:val="nothing"/>
      <w:lvlText w:val=""/>
      <w:lvlJc w:val="left"/>
      <w:pPr>
        <w:tabs>
          <w:tab w:val="num" w:pos="360"/>
        </w:tabs>
        <w:ind w:left="0" w:hanging="0"/>
      </w:pPr>
      <w:rPr/>
    </w:lvl>
    <w:lvl w:ilvl="2">
      <w:start w:val="0"/>
      <w:numFmt w:val="none"/>
      <w:suff w:val="nothing"/>
      <w:lvlText w:val=""/>
      <w:lvlJc w:val="left"/>
      <w:pPr>
        <w:tabs>
          <w:tab w:val="num" w:pos="360"/>
        </w:tabs>
        <w:ind w:left="0" w:hanging="0"/>
      </w:pPr>
      <w:rPr/>
    </w:lvl>
    <w:lvl w:ilvl="3">
      <w:start w:val="0"/>
      <w:numFmt w:val="none"/>
      <w:suff w:val="nothing"/>
      <w:lvlText w:val=""/>
      <w:lvlJc w:val="left"/>
      <w:pPr>
        <w:tabs>
          <w:tab w:val="num" w:pos="360"/>
        </w:tabs>
        <w:ind w:left="0" w:hanging="0"/>
      </w:pPr>
      <w:rPr/>
    </w:lvl>
    <w:lvl w:ilvl="4">
      <w:start w:val="0"/>
      <w:numFmt w:val="none"/>
      <w:suff w:val="nothing"/>
      <w:lvlText w:val=""/>
      <w:lvlJc w:val="left"/>
      <w:pPr>
        <w:tabs>
          <w:tab w:val="num" w:pos="360"/>
        </w:tabs>
        <w:ind w:left="0" w:hanging="0"/>
      </w:pPr>
      <w:rPr/>
    </w:lvl>
    <w:lvl w:ilvl="5">
      <w:start w:val="0"/>
      <w:numFmt w:val="none"/>
      <w:suff w:val="nothing"/>
      <w:lvlText w:val=""/>
      <w:lvlJc w:val="left"/>
      <w:pPr>
        <w:tabs>
          <w:tab w:val="num" w:pos="360"/>
        </w:tabs>
        <w:ind w:left="0" w:hanging="0"/>
      </w:pPr>
      <w:rPr/>
    </w:lvl>
    <w:lvl w:ilvl="6">
      <w:start w:val="0"/>
      <w:numFmt w:val="none"/>
      <w:suff w:val="nothing"/>
      <w:lvlText w:val=""/>
      <w:lvlJc w:val="left"/>
      <w:pPr>
        <w:tabs>
          <w:tab w:val="num" w:pos="360"/>
        </w:tabs>
        <w:ind w:left="0" w:hanging="0"/>
      </w:pPr>
      <w:rPr/>
    </w:lvl>
    <w:lvl w:ilvl="7">
      <w:start w:val="0"/>
      <w:numFmt w:val="none"/>
      <w:suff w:val="nothing"/>
      <w:lvlText w:val=""/>
      <w:lvlJc w:val="left"/>
      <w:pPr>
        <w:tabs>
          <w:tab w:val="num" w:pos="360"/>
        </w:tabs>
        <w:ind w:left="0" w:hanging="0"/>
      </w:pPr>
      <w:rPr/>
    </w:lvl>
    <w:lvl w:ilvl="8">
      <w:start w:val="0"/>
      <w:numFmt w:val="none"/>
      <w:suff w:val="nothing"/>
      <w:lvlText w:val=""/>
      <w:lvlJc w:val="left"/>
      <w:pPr>
        <w:tabs>
          <w:tab w:val="num" w:pos="360"/>
        </w:tabs>
        <w:ind w:left="0" w:hanging="0"/>
      </w:pPr>
      <w:rPr/>
    </w:lvl>
  </w:abstractNum>
  <w:abstractNum w:abstractNumId="5">
    <w:lvl w:ilvl="0">
      <w:start w:val="2"/>
      <w:numFmt w:val="decimal"/>
      <w:lvlText w:val="%1"/>
      <w:lvlJc w:val="left"/>
      <w:pPr>
        <w:tabs>
          <w:tab w:val="num" w:pos="480"/>
        </w:tabs>
        <w:ind w:left="480" w:hanging="480"/>
      </w:pPr>
      <w:rPr/>
    </w:lvl>
    <w:lvl w:ilvl="1">
      <w:start w:val="2"/>
      <w:numFmt w:val="decimal"/>
      <w:lvlText w:val="%1.%2"/>
      <w:lvlJc w:val="left"/>
      <w:pPr>
        <w:tabs>
          <w:tab w:val="num" w:pos="480"/>
        </w:tabs>
        <w:ind w:left="480" w:hanging="480"/>
      </w:pPr>
      <w:rPr/>
    </w:lvl>
    <w:lvl w:ilvl="2">
      <w:start w:val="1"/>
      <w:numFmt w:val="decimal"/>
      <w:lvlText w:val="%1.%2.%3"/>
      <w:lvlJc w:val="left"/>
      <w:pPr>
        <w:tabs>
          <w:tab w:val="num" w:pos="720"/>
        </w:tabs>
        <w:ind w:left="720" w:hanging="720"/>
      </w:pPr>
      <w:rPr>
        <w:color w:val="auto"/>
      </w:rPr>
    </w:lvl>
    <w:lvl w:ilvl="3">
      <w:start w:val="1"/>
      <w:numFmt w:val="decimal"/>
      <w:lvlText w:val="%1.%2.%3.%4"/>
      <w:lvlJc w:val="left"/>
      <w:pPr>
        <w:tabs>
          <w:tab w:val="num" w:pos="720"/>
        </w:tabs>
        <w:ind w:left="720" w:hanging="720"/>
      </w:pPr>
      <w:rPr/>
    </w:lvl>
    <w:lvl w:ilvl="4">
      <w:start w:val="1"/>
      <w:numFmt w:val="decimal"/>
      <w:lvlText w:val="%1.%2.%3.%4.%5"/>
      <w:lvlJc w:val="left"/>
      <w:pPr>
        <w:tabs>
          <w:tab w:val="num" w:pos="1080"/>
        </w:tabs>
        <w:ind w:left="1080" w:hanging="1080"/>
      </w:pPr>
      <w:rPr/>
    </w:lvl>
    <w:lvl w:ilvl="5">
      <w:start w:val="1"/>
      <w:numFmt w:val="decimal"/>
      <w:lvlText w:val="%1.%2.%3.%4.%5.%6"/>
      <w:lvlJc w:val="left"/>
      <w:pPr>
        <w:tabs>
          <w:tab w:val="num" w:pos="1080"/>
        </w:tabs>
        <w:ind w:left="1080" w:hanging="1080"/>
      </w:pPr>
      <w:rPr/>
    </w:lvl>
    <w:lvl w:ilvl="6">
      <w:start w:val="1"/>
      <w:numFmt w:val="decimal"/>
      <w:lvlText w:val="%1.%2.%3.%4.%5.%6.%7"/>
      <w:lvlJc w:val="left"/>
      <w:pPr>
        <w:tabs>
          <w:tab w:val="num" w:pos="1440"/>
        </w:tabs>
        <w:ind w:left="1440" w:hanging="1440"/>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800"/>
        </w:tabs>
        <w:ind w:left="1800" w:hanging="1800"/>
      </w:pPr>
      <w:rPr/>
    </w:lvl>
  </w:abstractNum>
  <w:abstractNum w:abstractNumId="6">
    <w:lvl w:ilvl="0">
      <w:start w:val="1"/>
      <w:numFmt w:val="bullet"/>
      <w:lvlText w:val=""/>
      <w:lvlJc w:val="left"/>
      <w:pPr>
        <w:tabs>
          <w:tab w:val="num" w:pos="997"/>
        </w:tabs>
        <w:ind w:left="997" w:hanging="284"/>
      </w:pPr>
      <w:rPr>
        <w:rFonts w:ascii="Symbol" w:hAnsi="Symbol" w:cs="Symbol" w:hint="default"/>
        <w:sz w:val="18"/>
        <w:szCs w:val="18"/>
      </w:rPr>
    </w:lvl>
    <w:lvl w:ilvl="1">
      <w:start w:val="1"/>
      <w:numFmt w:val="bullet"/>
      <w:lvlText w:val="o"/>
      <w:lvlJc w:val="left"/>
      <w:pPr>
        <w:tabs>
          <w:tab w:val="num" w:pos="2040"/>
        </w:tabs>
        <w:ind w:left="2040" w:hanging="360"/>
      </w:pPr>
      <w:rPr>
        <w:rFonts w:ascii="Courier New" w:hAnsi="Courier New" w:cs="Courier New" w:hint="default"/>
      </w:rPr>
    </w:lvl>
    <w:lvl w:ilvl="2">
      <w:start w:val="1"/>
      <w:numFmt w:val="bullet"/>
      <w:lvlText w:val=""/>
      <w:lvlJc w:val="left"/>
      <w:pPr>
        <w:tabs>
          <w:tab w:val="num" w:pos="2760"/>
        </w:tabs>
        <w:ind w:left="2760" w:hanging="360"/>
      </w:pPr>
      <w:rPr>
        <w:rFonts w:ascii="Wingdings" w:hAnsi="Wingdings" w:cs="Wingdings" w:hint="default"/>
      </w:rPr>
    </w:lvl>
    <w:lvl w:ilvl="3">
      <w:start w:val="1"/>
      <w:numFmt w:val="bullet"/>
      <w:lvlText w:val=""/>
      <w:lvlJc w:val="left"/>
      <w:pPr>
        <w:tabs>
          <w:tab w:val="num" w:pos="3480"/>
        </w:tabs>
        <w:ind w:left="3480" w:hanging="360"/>
      </w:pPr>
      <w:rPr>
        <w:rFonts w:ascii="Symbol" w:hAnsi="Symbol" w:cs="Symbol" w:hint="default"/>
      </w:rPr>
    </w:lvl>
    <w:lvl w:ilvl="4">
      <w:start w:val="1"/>
      <w:numFmt w:val="bullet"/>
      <w:lvlText w:val="o"/>
      <w:lvlJc w:val="left"/>
      <w:pPr>
        <w:tabs>
          <w:tab w:val="num" w:pos="4200"/>
        </w:tabs>
        <w:ind w:left="4200" w:hanging="360"/>
      </w:pPr>
      <w:rPr>
        <w:rFonts w:ascii="Courier New" w:hAnsi="Courier New" w:cs="Courier New" w:hint="default"/>
      </w:rPr>
    </w:lvl>
    <w:lvl w:ilvl="5">
      <w:start w:val="1"/>
      <w:numFmt w:val="bullet"/>
      <w:lvlText w:val=""/>
      <w:lvlJc w:val="left"/>
      <w:pPr>
        <w:tabs>
          <w:tab w:val="num" w:pos="4920"/>
        </w:tabs>
        <w:ind w:left="4920" w:hanging="360"/>
      </w:pPr>
      <w:rPr>
        <w:rFonts w:ascii="Wingdings" w:hAnsi="Wingdings" w:cs="Wingdings" w:hint="default"/>
      </w:rPr>
    </w:lvl>
    <w:lvl w:ilvl="6">
      <w:start w:val="1"/>
      <w:numFmt w:val="bullet"/>
      <w:lvlText w:val=""/>
      <w:lvlJc w:val="left"/>
      <w:pPr>
        <w:tabs>
          <w:tab w:val="num" w:pos="5640"/>
        </w:tabs>
        <w:ind w:left="5640" w:hanging="360"/>
      </w:pPr>
      <w:rPr>
        <w:rFonts w:ascii="Symbol" w:hAnsi="Symbol" w:cs="Symbol" w:hint="default"/>
      </w:rPr>
    </w:lvl>
    <w:lvl w:ilvl="7">
      <w:start w:val="1"/>
      <w:numFmt w:val="bullet"/>
      <w:lvlText w:val="o"/>
      <w:lvlJc w:val="left"/>
      <w:pPr>
        <w:tabs>
          <w:tab w:val="num" w:pos="6360"/>
        </w:tabs>
        <w:ind w:left="6360" w:hanging="360"/>
      </w:pPr>
      <w:rPr>
        <w:rFonts w:ascii="Courier New" w:hAnsi="Courier New" w:cs="Courier New" w:hint="default"/>
      </w:rPr>
    </w:lvl>
    <w:lvl w:ilvl="8">
      <w:start w:val="1"/>
      <w:numFmt w:val="bullet"/>
      <w:lvlText w:val=""/>
      <w:lvlJc w:val="left"/>
      <w:pPr>
        <w:tabs>
          <w:tab w:val="num" w:pos="7080"/>
        </w:tabs>
        <w:ind w:left="7080" w:hanging="360"/>
      </w:pPr>
      <w:rPr>
        <w:rFonts w:ascii="Wingdings" w:hAnsi="Wingdings" w:cs="Wingdings" w:hint="default"/>
      </w:rPr>
    </w:lvl>
  </w:abstractNum>
  <w:abstractNum w:abstractNumId="7">
    <w:lvl w:ilvl="0">
      <w:start w:val="2"/>
      <w:numFmt w:val="decimal"/>
      <w:lvlText w:val="%1"/>
      <w:lvlJc w:val="left"/>
      <w:pPr>
        <w:tabs>
          <w:tab w:val="num" w:pos="0"/>
        </w:tabs>
        <w:ind w:left="360" w:hanging="360"/>
      </w:pPr>
      <w:rPr>
        <w:color w:val="auto"/>
      </w:rPr>
    </w:lvl>
    <w:lvl w:ilvl="1">
      <w:start w:val="1"/>
      <w:numFmt w:val="decimal"/>
      <w:lvlText w:val="%1.%2"/>
      <w:lvlJc w:val="left"/>
      <w:pPr>
        <w:tabs>
          <w:tab w:val="num" w:pos="0"/>
        </w:tabs>
        <w:ind w:left="360" w:hanging="360"/>
      </w:pPr>
      <w:rPr>
        <w:color w:val="auto"/>
      </w:rPr>
    </w:lvl>
    <w:lvl w:ilvl="2">
      <w:start w:val="1"/>
      <w:numFmt w:val="decimal"/>
      <w:lvlText w:val="%1.%2.%3"/>
      <w:lvlJc w:val="left"/>
      <w:pPr>
        <w:tabs>
          <w:tab w:val="num" w:pos="0"/>
        </w:tabs>
        <w:ind w:left="720" w:hanging="720"/>
      </w:pPr>
      <w:rPr>
        <w:color w:val="auto"/>
      </w:rPr>
    </w:lvl>
    <w:lvl w:ilvl="3">
      <w:start w:val="1"/>
      <w:numFmt w:val="decimal"/>
      <w:lvlText w:val="%1.%2.%3.%4"/>
      <w:lvlJc w:val="left"/>
      <w:pPr>
        <w:tabs>
          <w:tab w:val="num" w:pos="0"/>
        </w:tabs>
        <w:ind w:left="720" w:hanging="720"/>
      </w:pPr>
      <w:rPr>
        <w:color w:val="auto"/>
      </w:rPr>
    </w:lvl>
    <w:lvl w:ilvl="4">
      <w:start w:val="1"/>
      <w:numFmt w:val="decimal"/>
      <w:lvlText w:val="%1.%2.%3.%4.%5"/>
      <w:lvlJc w:val="left"/>
      <w:pPr>
        <w:tabs>
          <w:tab w:val="num" w:pos="0"/>
        </w:tabs>
        <w:ind w:left="1080" w:hanging="1080"/>
      </w:pPr>
      <w:rPr>
        <w:color w:val="auto"/>
      </w:rPr>
    </w:lvl>
    <w:lvl w:ilvl="5">
      <w:start w:val="1"/>
      <w:numFmt w:val="decimal"/>
      <w:lvlText w:val="%1.%2.%3.%4.%5.%6"/>
      <w:lvlJc w:val="left"/>
      <w:pPr>
        <w:tabs>
          <w:tab w:val="num" w:pos="0"/>
        </w:tabs>
        <w:ind w:left="1080" w:hanging="1080"/>
      </w:pPr>
      <w:rPr>
        <w:color w:val="auto"/>
      </w:rPr>
    </w:lvl>
    <w:lvl w:ilvl="6">
      <w:start w:val="1"/>
      <w:numFmt w:val="decimal"/>
      <w:lvlText w:val="%1.%2.%3.%4.%5.%6.%7"/>
      <w:lvlJc w:val="left"/>
      <w:pPr>
        <w:tabs>
          <w:tab w:val="num" w:pos="0"/>
        </w:tabs>
        <w:ind w:left="1440" w:hanging="1440"/>
      </w:pPr>
      <w:rPr>
        <w:color w:val="auto"/>
      </w:rPr>
    </w:lvl>
    <w:lvl w:ilvl="7">
      <w:start w:val="1"/>
      <w:numFmt w:val="decimal"/>
      <w:lvlText w:val="%1.%2.%3.%4.%5.%6.%7.%8"/>
      <w:lvlJc w:val="left"/>
      <w:pPr>
        <w:tabs>
          <w:tab w:val="num" w:pos="0"/>
        </w:tabs>
        <w:ind w:left="1440" w:hanging="1440"/>
      </w:pPr>
      <w:rPr>
        <w:color w:val="auto"/>
      </w:rPr>
    </w:lvl>
    <w:lvl w:ilvl="8">
      <w:start w:val="1"/>
      <w:numFmt w:val="decimal"/>
      <w:lvlText w:val="%1.%2.%3.%4.%5.%6.%7.%8.%9"/>
      <w:lvlJc w:val="left"/>
      <w:pPr>
        <w:tabs>
          <w:tab w:val="num" w:pos="0"/>
        </w:tabs>
        <w:ind w:left="1800" w:hanging="1800"/>
      </w:pPr>
      <w:rPr>
        <w:color w:val="auto"/>
      </w:rPr>
    </w:lvl>
  </w:abstractNum>
  <w:abstractNum w:abstractNumId="8">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2"/>
      <w:numFmt w:val="decimal"/>
      <w:lvlText w:val="%1"/>
      <w:lvlJc w:val="left"/>
      <w:pPr>
        <w:tabs>
          <w:tab w:val="num" w:pos="0"/>
        </w:tabs>
        <w:ind w:left="360" w:hanging="360"/>
      </w:pPr>
      <w:rPr>
        <w:color w:val="auto"/>
      </w:rPr>
    </w:lvl>
    <w:lvl w:ilvl="1">
      <w:start w:val="1"/>
      <w:numFmt w:val="decimal"/>
      <w:lvlText w:val="%1.%2"/>
      <w:lvlJc w:val="left"/>
      <w:pPr>
        <w:tabs>
          <w:tab w:val="num" w:pos="0"/>
        </w:tabs>
        <w:ind w:left="644" w:hanging="360"/>
      </w:pPr>
      <w:rPr>
        <w:color w:val="auto"/>
      </w:rPr>
    </w:lvl>
    <w:lvl w:ilvl="2">
      <w:start w:val="1"/>
      <w:numFmt w:val="decimal"/>
      <w:lvlText w:val="%1.%2.%3"/>
      <w:lvlJc w:val="left"/>
      <w:pPr>
        <w:tabs>
          <w:tab w:val="num" w:pos="0"/>
        </w:tabs>
        <w:ind w:left="1288" w:hanging="720"/>
      </w:pPr>
      <w:rPr>
        <w:color w:val="auto"/>
      </w:rPr>
    </w:lvl>
    <w:lvl w:ilvl="3">
      <w:start w:val="1"/>
      <w:numFmt w:val="decimal"/>
      <w:lvlText w:val="%1.%2.%3.%4"/>
      <w:lvlJc w:val="left"/>
      <w:pPr>
        <w:tabs>
          <w:tab w:val="num" w:pos="0"/>
        </w:tabs>
        <w:ind w:left="1572" w:hanging="720"/>
      </w:pPr>
      <w:rPr>
        <w:color w:val="auto"/>
      </w:rPr>
    </w:lvl>
    <w:lvl w:ilvl="4">
      <w:start w:val="1"/>
      <w:numFmt w:val="decimal"/>
      <w:lvlText w:val="%1.%2.%3.%4.%5"/>
      <w:lvlJc w:val="left"/>
      <w:pPr>
        <w:tabs>
          <w:tab w:val="num" w:pos="0"/>
        </w:tabs>
        <w:ind w:left="2216" w:hanging="1080"/>
      </w:pPr>
      <w:rPr>
        <w:color w:val="auto"/>
      </w:rPr>
    </w:lvl>
    <w:lvl w:ilvl="5">
      <w:start w:val="1"/>
      <w:numFmt w:val="decimal"/>
      <w:lvlText w:val="%1.%2.%3.%4.%5.%6"/>
      <w:lvlJc w:val="left"/>
      <w:pPr>
        <w:tabs>
          <w:tab w:val="num" w:pos="0"/>
        </w:tabs>
        <w:ind w:left="2500" w:hanging="1080"/>
      </w:pPr>
      <w:rPr>
        <w:color w:val="auto"/>
      </w:rPr>
    </w:lvl>
    <w:lvl w:ilvl="6">
      <w:start w:val="1"/>
      <w:numFmt w:val="decimal"/>
      <w:lvlText w:val="%1.%2.%3.%4.%5.%6.%7"/>
      <w:lvlJc w:val="left"/>
      <w:pPr>
        <w:tabs>
          <w:tab w:val="num" w:pos="0"/>
        </w:tabs>
        <w:ind w:left="3144" w:hanging="1440"/>
      </w:pPr>
      <w:rPr>
        <w:color w:val="auto"/>
      </w:rPr>
    </w:lvl>
    <w:lvl w:ilvl="7">
      <w:start w:val="1"/>
      <w:numFmt w:val="decimal"/>
      <w:lvlText w:val="%1.%2.%3.%4.%5.%6.%7.%8"/>
      <w:lvlJc w:val="left"/>
      <w:pPr>
        <w:tabs>
          <w:tab w:val="num" w:pos="0"/>
        </w:tabs>
        <w:ind w:left="3428" w:hanging="1440"/>
      </w:pPr>
      <w:rPr>
        <w:color w:val="auto"/>
      </w:rPr>
    </w:lvl>
    <w:lvl w:ilvl="8">
      <w:start w:val="1"/>
      <w:numFmt w:val="decimal"/>
      <w:lvlText w:val="%1.%2.%3.%4.%5.%6.%7.%8.%9"/>
      <w:lvlJc w:val="left"/>
      <w:pPr>
        <w:tabs>
          <w:tab w:val="num" w:pos="0"/>
        </w:tabs>
        <w:ind w:left="4072" w:hanging="1800"/>
      </w:pPr>
      <w:rPr>
        <w:color w:val="auto"/>
      </w:rPr>
    </w:lvl>
  </w:abstractNum>
  <w:abstractNum w:abstractNumId="10">
    <w:lvl w:ilvl="0">
      <w:start w:val="1"/>
      <w:numFmt w:val="decimal"/>
      <w:lvlText w:val="%1."/>
      <w:lvlJc w:val="left"/>
      <w:pPr>
        <w:tabs>
          <w:tab w:val="num" w:pos="0"/>
        </w:tabs>
        <w:ind w:left="360" w:hanging="360"/>
      </w:pPr>
      <w:rPr>
        <w:b/>
        <w:bCs/>
        <w:color w:val="auto"/>
      </w:rPr>
    </w:lvl>
    <w:lvl w:ilvl="1">
      <w:start w:val="1"/>
      <w:numFmt w:val="decimal"/>
      <w:lvlText w:val="%1.%2"/>
      <w:lvlJc w:val="left"/>
      <w:pPr>
        <w:tabs>
          <w:tab w:val="num" w:pos="0"/>
        </w:tabs>
        <w:ind w:left="644" w:hanging="360"/>
      </w:pPr>
      <w:rPr>
        <w:color w:val="auto"/>
      </w:rPr>
    </w:lvl>
    <w:lvl w:ilvl="2">
      <w:start w:val="1"/>
      <w:numFmt w:val="decimal"/>
      <w:lvlText w:val="%1.%2.%3"/>
      <w:lvlJc w:val="left"/>
      <w:pPr>
        <w:tabs>
          <w:tab w:val="num" w:pos="0"/>
        </w:tabs>
        <w:ind w:left="1288" w:hanging="720"/>
      </w:pPr>
      <w:rPr>
        <w:color w:val="auto"/>
      </w:rPr>
    </w:lvl>
    <w:lvl w:ilvl="3">
      <w:start w:val="1"/>
      <w:numFmt w:val="decimal"/>
      <w:lvlText w:val="%1.%2.%3.%4"/>
      <w:lvlJc w:val="left"/>
      <w:pPr>
        <w:tabs>
          <w:tab w:val="num" w:pos="0"/>
        </w:tabs>
        <w:ind w:left="1572" w:hanging="720"/>
      </w:pPr>
      <w:rPr>
        <w:color w:val="auto"/>
      </w:rPr>
    </w:lvl>
    <w:lvl w:ilvl="4">
      <w:start w:val="1"/>
      <w:numFmt w:val="decimal"/>
      <w:lvlText w:val="%1.%2.%3.%4.%5"/>
      <w:lvlJc w:val="left"/>
      <w:pPr>
        <w:tabs>
          <w:tab w:val="num" w:pos="0"/>
        </w:tabs>
        <w:ind w:left="2216" w:hanging="1080"/>
      </w:pPr>
      <w:rPr>
        <w:color w:val="auto"/>
      </w:rPr>
    </w:lvl>
    <w:lvl w:ilvl="5">
      <w:start w:val="1"/>
      <w:numFmt w:val="decimal"/>
      <w:lvlText w:val="%1.%2.%3.%4.%5.%6"/>
      <w:lvlJc w:val="left"/>
      <w:pPr>
        <w:tabs>
          <w:tab w:val="num" w:pos="0"/>
        </w:tabs>
        <w:ind w:left="2500" w:hanging="1080"/>
      </w:pPr>
      <w:rPr>
        <w:color w:val="auto"/>
      </w:rPr>
    </w:lvl>
    <w:lvl w:ilvl="6">
      <w:start w:val="1"/>
      <w:numFmt w:val="decimal"/>
      <w:lvlText w:val="%1.%2.%3.%4.%5.%6.%7"/>
      <w:lvlJc w:val="left"/>
      <w:pPr>
        <w:tabs>
          <w:tab w:val="num" w:pos="0"/>
        </w:tabs>
        <w:ind w:left="3144" w:hanging="1440"/>
      </w:pPr>
      <w:rPr>
        <w:color w:val="auto"/>
      </w:rPr>
    </w:lvl>
    <w:lvl w:ilvl="7">
      <w:start w:val="1"/>
      <w:numFmt w:val="decimal"/>
      <w:lvlText w:val="%1.%2.%3.%4.%5.%6.%7.%8"/>
      <w:lvlJc w:val="left"/>
      <w:pPr>
        <w:tabs>
          <w:tab w:val="num" w:pos="0"/>
        </w:tabs>
        <w:ind w:left="3428" w:hanging="1440"/>
      </w:pPr>
      <w:rPr>
        <w:color w:val="auto"/>
      </w:rPr>
    </w:lvl>
    <w:lvl w:ilvl="8">
      <w:start w:val="1"/>
      <w:numFmt w:val="decimal"/>
      <w:lvlText w:val="%1.%2.%3.%4.%5.%6.%7.%8.%9"/>
      <w:lvlJc w:val="left"/>
      <w:pPr>
        <w:tabs>
          <w:tab w:val="num" w:pos="0"/>
        </w:tabs>
        <w:ind w:left="4072" w:hanging="1800"/>
      </w:pPr>
      <w:rPr>
        <w:color w:val="auto"/>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220"/>
  <w:mirrorMargins/>
  <w:embedSystemFonts/>
  <w:defaultTabStop w:val="720"/>
  <w:autoHyphenation w:val="true"/>
  <w:hyphenationZone w:val="425"/>
  <w:footnotePr>
    <w:numFmt w:val="chicago"/>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ES" w:eastAsia="es-E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5d0849"/>
    <w:pPr>
      <w:widowControl w:val="false"/>
      <w:suppressAutoHyphens w:val="false"/>
      <w:bidi w:val="0"/>
      <w:spacing w:before="60" w:after="0"/>
      <w:ind w:firstLine="284"/>
      <w:jc w:val="both"/>
    </w:pPr>
    <w:rPr>
      <w:rFonts w:ascii="Arial" w:hAnsi="Arial" w:eastAsia="Times New Roman" w:cs="Times New Roman"/>
      <w:color w:val="auto"/>
      <w:kern w:val="0"/>
      <w:sz w:val="20"/>
      <w:szCs w:val="20"/>
      <w:lang w:bidi="he-IL" w:val="es-ES" w:eastAsia="es-ES"/>
    </w:rPr>
  </w:style>
  <w:style w:type="paragraph" w:styleId="Heading1">
    <w:name w:val="Heading 1"/>
    <w:basedOn w:val="Normal"/>
    <w:next w:val="Normal"/>
    <w:qFormat/>
    <w:pPr>
      <w:keepNext w:val="true"/>
      <w:tabs>
        <w:tab w:val="clear" w:pos="720"/>
        <w:tab w:val="left" w:pos="-720" w:leader="none"/>
      </w:tabs>
      <w:suppressAutoHyphens w:val="true"/>
      <w:outlineLvl w:val="0"/>
    </w:pPr>
    <w:rPr>
      <w:rFonts w:ascii="Times New Roman" w:hAnsi="Times New Roman"/>
      <w:b/>
      <w:i/>
      <w:spacing w:val="-3"/>
    </w:rPr>
  </w:style>
  <w:style w:type="paragraph" w:styleId="Heading2">
    <w:name w:val="Heading 2"/>
    <w:basedOn w:val="Normal"/>
    <w:next w:val="Normal"/>
    <w:qFormat/>
    <w:pPr>
      <w:keepNext w:val="true"/>
      <w:outlineLvl w:val="1"/>
    </w:pPr>
    <w:rPr>
      <w:rFonts w:ascii="Times New Roman" w:hAnsi="Times New Roman"/>
      <w:b/>
      <w:sz w:val="16"/>
    </w:rPr>
  </w:style>
  <w:style w:type="paragraph" w:styleId="Heading3">
    <w:name w:val="Heading 3"/>
    <w:basedOn w:val="Normal"/>
    <w:next w:val="Normal"/>
    <w:qFormat/>
    <w:rsid w:val="00bb0ca9"/>
    <w:pPr>
      <w:keepNext w:val="true"/>
      <w:spacing w:before="240" w:after="60"/>
      <w:outlineLvl w:val="2"/>
    </w:pPr>
    <w:rPr>
      <w:rFonts w:cs="Arial"/>
      <w:b/>
      <w:bCs/>
      <w:sz w:val="26"/>
      <w:szCs w:val="26"/>
    </w:rPr>
  </w:style>
  <w:style w:type="paragraph" w:styleId="Heading4">
    <w:name w:val="Heading 4"/>
    <w:basedOn w:val="Normal"/>
    <w:next w:val="Normal"/>
    <w:qFormat/>
    <w:pPr>
      <w:keepNext w:val="true"/>
      <w:tabs>
        <w:tab w:val="clear" w:pos="720"/>
        <w:tab w:val="left" w:pos="-720" w:leader="none"/>
      </w:tabs>
      <w:suppressAutoHyphens w:val="true"/>
      <w:jc w:val="center"/>
      <w:outlineLvl w:val="3"/>
    </w:pPr>
    <w:rPr>
      <w:rFonts w:ascii="Times New Roman" w:hAnsi="Times New Roman"/>
      <w:b/>
      <w:spacing w:val="-3"/>
      <w:lang w:val="es-ES_tradnl"/>
    </w:rPr>
  </w:style>
  <w:style w:type="paragraph" w:styleId="Heading5">
    <w:name w:val="Heading 5"/>
    <w:basedOn w:val="Normal"/>
    <w:next w:val="Normal"/>
    <w:qFormat/>
    <w:pPr>
      <w:keepNext w:val="true"/>
      <w:tabs>
        <w:tab w:val="clear" w:pos="720"/>
        <w:tab w:val="left" w:pos="-720" w:leader="none"/>
      </w:tabs>
      <w:suppressAutoHyphens w:val="true"/>
      <w:jc w:val="center"/>
      <w:outlineLvl w:val="4"/>
    </w:pPr>
    <w:rPr>
      <w:rFonts w:ascii="Times New Roman" w:hAnsi="Times New Roman"/>
      <w:b/>
      <w:spacing w:val="-3"/>
      <w:lang w:val="es-ES_tradnl"/>
    </w:rPr>
  </w:style>
  <w:style w:type="paragraph" w:styleId="Heading6">
    <w:name w:val="Heading 6"/>
    <w:basedOn w:val="Normal"/>
    <w:next w:val="Normal"/>
    <w:qFormat/>
    <w:pPr>
      <w:keepNext w:val="true"/>
      <w:tabs>
        <w:tab w:val="clear" w:pos="720"/>
        <w:tab w:val="left" w:pos="-720" w:leader="none"/>
      </w:tabs>
      <w:suppressAutoHyphens w:val="true"/>
      <w:outlineLvl w:val="5"/>
    </w:pPr>
    <w:rPr>
      <w:rFonts w:ascii="Times New Roman" w:hAnsi="Times New Roman"/>
      <w:spacing w:val="-3"/>
      <w:lang w:val="es-ES_tradnl"/>
    </w:rPr>
  </w:style>
  <w:style w:type="paragraph" w:styleId="Heading7">
    <w:name w:val="Heading 7"/>
    <w:basedOn w:val="Normal"/>
    <w:next w:val="Normal"/>
    <w:qFormat/>
    <w:pPr>
      <w:keepNext w:val="true"/>
      <w:outlineLvl w:val="6"/>
    </w:pPr>
    <w:rPr>
      <w:rFonts w:ascii="Times New Roman" w:hAnsi="Times New Roman"/>
      <w:b/>
    </w:rPr>
  </w:style>
  <w:style w:type="paragraph" w:styleId="Heading9">
    <w:name w:val="Heading 9"/>
    <w:basedOn w:val="Normal"/>
    <w:next w:val="Normal"/>
    <w:qFormat/>
    <w:pPr>
      <w:keepNext w:val="true"/>
      <w:outlineLvl w:val="8"/>
    </w:pPr>
    <w:rPr>
      <w:rFonts w:ascii="Times New Roman" w:hAnsi="Times New Roman"/>
    </w:rPr>
  </w:style>
  <w:style w:type="character" w:styleId="DefaultParagraphFont" w:default="1">
    <w:name w:val="Default Paragraph Font"/>
    <w:uiPriority w:val="1"/>
    <w:semiHidden/>
    <w:unhideWhenUsed/>
    <w:qFormat/>
    <w:rPr/>
  </w:style>
  <w:style w:type="character" w:styleId="Hyperlink">
    <w:name w:val="Hyperlink"/>
    <w:rPr>
      <w:color w:val="0000FF"/>
      <w:u w:val="single"/>
    </w:rPr>
  </w:style>
  <w:style w:type="character" w:styleId="FollowedHyperlink">
    <w:name w:val="FollowedHyperlink"/>
    <w:semiHidden/>
    <w:rPr>
      <w:color w:val="800080"/>
      <w:u w:val="single"/>
    </w:rPr>
  </w:style>
  <w:style w:type="character" w:styleId="TextonormalCar" w:customStyle="1">
    <w:name w:val="Texto normal Car"/>
    <w:link w:val="Textonormal"/>
    <w:semiHidden/>
    <w:qFormat/>
    <w:rsid w:val="00bb0ca9"/>
    <w:rPr>
      <w:lang w:val="es-ES" w:eastAsia="es-ES" w:bidi="he-IL"/>
    </w:rPr>
  </w:style>
  <w:style w:type="character" w:styleId="Annotationreference">
    <w:name w:val="annotation reference"/>
    <w:semiHidden/>
    <w:qFormat/>
    <w:rsid w:val="00bb0427"/>
    <w:rPr>
      <w:sz w:val="16"/>
      <w:szCs w:val="16"/>
    </w:rPr>
  </w:style>
  <w:style w:type="character" w:styleId="DatosautoresCar" w:customStyle="1">
    <w:name w:val="Datos autores Car"/>
    <w:link w:val="Datosautores"/>
    <w:qFormat/>
    <w:rsid w:val="009e2927"/>
    <w:rPr>
      <w:rFonts w:ascii="Arial" w:hAnsi="Arial"/>
      <w:sz w:val="18"/>
      <w:lang w:val="es-ES" w:eastAsia="es-ES" w:bidi="he-IL"/>
    </w:rPr>
  </w:style>
  <w:style w:type="character" w:styleId="PiedefiguraCarCar" w:customStyle="1">
    <w:name w:val="pie de figura Car Car"/>
    <w:link w:val="Piedefigura"/>
    <w:qFormat/>
    <w:rsid w:val="00d663f2"/>
    <w:rPr>
      <w:rFonts w:ascii="Arial" w:hAnsi="Arial"/>
      <w:sz w:val="16"/>
      <w:lang w:val="es-ES" w:eastAsia="es-ES" w:bidi="he-IL"/>
    </w:rPr>
  </w:style>
  <w:style w:type="character" w:styleId="ResumenCar" w:customStyle="1">
    <w:name w:val="Resumen Car"/>
    <w:link w:val="Resumen"/>
    <w:qFormat/>
    <w:rsid w:val="002c6bcf"/>
    <w:rPr>
      <w:rFonts w:ascii="Arial" w:hAnsi="Arial"/>
      <w:i/>
      <w:lang w:val="es-ES" w:eastAsia="es-ES" w:bidi="he-IL"/>
    </w:rPr>
  </w:style>
  <w:style w:type="character" w:styleId="EncabezadoResumenCar" w:customStyle="1">
    <w:name w:val="Encabezado Resumen Car"/>
    <w:link w:val="EncabezadoResumen"/>
    <w:qFormat/>
    <w:rsid w:val="00b8434a"/>
    <w:rPr>
      <w:rFonts w:ascii="Arial" w:hAnsi="Arial"/>
      <w:b/>
      <w:caps/>
      <w:sz w:val="22"/>
      <w:szCs w:val="22"/>
      <w:lang w:val="es-ES" w:eastAsia="es-ES" w:bidi="he-IL"/>
    </w:rPr>
  </w:style>
  <w:style w:type="character" w:styleId="PalabrasClaveCar" w:customStyle="1">
    <w:name w:val="Palabras Clave Car"/>
    <w:link w:val="PalabrasClave"/>
    <w:qFormat/>
    <w:rsid w:val="000c5dfb"/>
    <w:rPr>
      <w:rFonts w:ascii="Arial" w:hAnsi="Arial"/>
      <w:b/>
      <w:i/>
      <w:u w:val="single"/>
      <w:lang w:val="es-ES" w:eastAsia="es-ES" w:bidi="he-IL"/>
    </w:rPr>
  </w:style>
  <w:style w:type="character" w:styleId="TextonotapieCar" w:customStyle="1">
    <w:name w:val="Texto nota pie Car"/>
    <w:qFormat/>
    <w:rsid w:val="004a031b"/>
    <w:rPr>
      <w:rFonts w:ascii="Arial" w:hAnsi="Arial"/>
      <w:lang w:val="es-ES" w:eastAsia="es-ES" w:bidi="he-IL"/>
    </w:rPr>
  </w:style>
  <w:style w:type="character" w:styleId="Caracteresdenotaalpie">
    <w:name w:val="Caracteres de nota al pie"/>
    <w:qFormat/>
    <w:rsid w:val="004a031b"/>
    <w:rPr>
      <w:vertAlign w:val="superscript"/>
    </w:rPr>
  </w:style>
  <w:style w:type="character" w:styleId="FootnoteReference">
    <w:name w:val="Footnote Reference"/>
    <w:rPr>
      <w:vertAlign w:val="superscript"/>
    </w:rPr>
  </w:style>
  <w:style w:type="character" w:styleId="UnresolvedMention">
    <w:name w:val="Unresolved Mention"/>
    <w:basedOn w:val="DefaultParagraphFont"/>
    <w:uiPriority w:val="99"/>
    <w:semiHidden/>
    <w:unhideWhenUsed/>
    <w:qFormat/>
    <w:rsid w:val="008a0313"/>
    <w:rPr>
      <w:color w:val="605E5C"/>
      <w:shd w:fill="E1DFDD" w:val="clear"/>
    </w:rPr>
  </w:style>
  <w:style w:type="character" w:styleId="PlaceholderText">
    <w:name w:val="Placeholder Text"/>
    <w:basedOn w:val="DefaultParagraphFont"/>
    <w:uiPriority w:val="99"/>
    <w:semiHidden/>
    <w:qFormat/>
    <w:rsid w:val="00af1b6d"/>
    <w:rPr>
      <w:color w:val="808080"/>
    </w:rPr>
  </w:style>
  <w:style w:type="character" w:styleId="TextonotaalfinalCar" w:customStyle="1">
    <w:name w:val="Texto nota al final Car"/>
    <w:basedOn w:val="DefaultParagraphFont"/>
    <w:qFormat/>
    <w:rsid w:val="009f2acd"/>
    <w:rPr>
      <w:rFonts w:ascii="Arial" w:hAnsi="Arial"/>
      <w:lang w:bidi="he-IL"/>
    </w:rPr>
  </w:style>
  <w:style w:type="character" w:styleId="Caracteresdenotafinal">
    <w:name w:val="Caracteres de nota final"/>
    <w:basedOn w:val="DefaultParagraphFont"/>
    <w:qFormat/>
    <w:rsid w:val="009f2acd"/>
    <w:rPr>
      <w:vertAlign w:val="superscript"/>
    </w:rPr>
  </w:style>
  <w:style w:type="character" w:styleId="EndnoteReference">
    <w:name w:val="Endnote Reference"/>
    <w:rPr>
      <w:vertAlign w:val="superscript"/>
    </w:rPr>
  </w:style>
  <w:style w:type="paragraph" w:styleId="Ttulo">
    <w:name w:val="Título"/>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semiHidden/>
    <w:pPr>
      <w:tabs>
        <w:tab w:val="clear" w:pos="720"/>
        <w:tab w:val="left" w:pos="-720" w:leader="none"/>
        <w:tab w:val="left" w:pos="6360" w:leader="none"/>
      </w:tabs>
      <w:suppressAutoHyphens w:val="true"/>
    </w:pPr>
    <w:rPr>
      <w:rFonts w:ascii="Times New Roman" w:hAnsi="Times New Roman"/>
      <w:spacing w:val="-3"/>
      <w:lang w:val="es-ES_tradnl"/>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Ndice">
    <w:name w:val="Índice"/>
    <w:basedOn w:val="Normal"/>
    <w:qFormat/>
    <w:pPr>
      <w:suppressLineNumbers/>
    </w:pPr>
    <w:rPr>
      <w:rFonts w:cs="Noto Sans Devanagari"/>
    </w:rPr>
  </w:style>
  <w:style w:type="paragraph" w:styleId="Ttuloprincipal" w:customStyle="1">
    <w:name w:val="Título principal"/>
    <w:basedOn w:val="Textonormal"/>
    <w:next w:val="Nombresautores"/>
    <w:semiHidden/>
    <w:qFormat/>
    <w:pPr>
      <w:spacing w:before="0" w:after="360"/>
      <w:ind w:right="-9"/>
      <w:jc w:val="center"/>
    </w:pPr>
    <w:rPr>
      <w:b/>
      <w:sz w:val="44"/>
    </w:rPr>
  </w:style>
  <w:style w:type="paragraph" w:styleId="Nombresautores" w:customStyle="1">
    <w:name w:val="Nombres autores"/>
    <w:basedOn w:val="Textonormal"/>
    <w:next w:val="Datosautores"/>
    <w:qFormat/>
    <w:rsid w:val="009e2927"/>
    <w:pPr>
      <w:spacing w:before="0" w:after="240"/>
      <w:jc w:val="center"/>
    </w:pPr>
    <w:rPr>
      <w:rFonts w:ascii="Arial" w:hAnsi="Arial"/>
      <w:i/>
      <w:sz w:val="22"/>
    </w:rPr>
  </w:style>
  <w:style w:type="paragraph" w:styleId="Datosautores" w:customStyle="1">
    <w:name w:val="Datos autores"/>
    <w:basedOn w:val="Textonormal"/>
    <w:link w:val="DatosautoresCar"/>
    <w:qFormat/>
    <w:rsid w:val="009e2927"/>
    <w:pPr>
      <w:jc w:val="center"/>
    </w:pPr>
    <w:rPr>
      <w:rFonts w:ascii="Arial" w:hAnsi="Arial"/>
      <w:sz w:val="18"/>
    </w:rPr>
  </w:style>
  <w:style w:type="paragraph" w:styleId="Ttuloseccin" w:customStyle="1">
    <w:name w:val="Título sección"/>
    <w:basedOn w:val="Textonormal"/>
    <w:next w:val="Textonormal"/>
    <w:semiHidden/>
    <w:qFormat/>
    <w:pPr>
      <w:keepNext w:val="true"/>
      <w:spacing w:before="120" w:after="60"/>
      <w:jc w:val="center"/>
    </w:pPr>
    <w:rPr>
      <w:b/>
      <w:sz w:val="24"/>
    </w:rPr>
  </w:style>
  <w:style w:type="paragraph" w:styleId="Ttuloreferencias" w:customStyle="1">
    <w:name w:val="Título referencias"/>
    <w:basedOn w:val="Textonormal"/>
    <w:next w:val="Normal"/>
    <w:semiHidden/>
    <w:qFormat/>
    <w:pPr>
      <w:keepNext w:val="true"/>
      <w:spacing w:before="120" w:after="60"/>
      <w:jc w:val="center"/>
    </w:pPr>
    <w:rPr>
      <w:b/>
      <w:sz w:val="24"/>
    </w:rPr>
  </w:style>
  <w:style w:type="paragraph" w:styleId="PiedeFiguraExplicacin" w:customStyle="1">
    <w:name w:val="Pie de Figura Explicación"/>
    <w:basedOn w:val="BodyText"/>
    <w:qFormat/>
    <w:rsid w:val="00562653"/>
    <w:pPr>
      <w:ind w:hanging="0"/>
    </w:pPr>
    <w:rPr>
      <w:rFonts w:ascii="Arial" w:hAnsi="Arial"/>
      <w:sz w:val="16"/>
    </w:rPr>
  </w:style>
  <w:style w:type="paragraph" w:styleId="Cabeceraypie">
    <w:name w:val="Cabecera y pie"/>
    <w:basedOn w:val="Normal"/>
    <w:qFormat/>
    <w:pPr/>
    <w:rPr/>
  </w:style>
  <w:style w:type="paragraph" w:styleId="Header">
    <w:name w:val="Header"/>
    <w:basedOn w:val="Normal"/>
    <w:rsid w:val="00562653"/>
    <w:pPr>
      <w:tabs>
        <w:tab w:val="clear" w:pos="720"/>
        <w:tab w:val="center" w:pos="4252" w:leader="none"/>
        <w:tab w:val="right" w:pos="8504" w:leader="none"/>
      </w:tabs>
    </w:pPr>
    <w:rPr/>
  </w:style>
  <w:style w:type="paragraph" w:styleId="PiedePgina" w:customStyle="1">
    <w:name w:val="Pie de Página"/>
    <w:basedOn w:val="Normal"/>
    <w:qFormat/>
    <w:rsid w:val="00562653"/>
    <w:pPr/>
    <w:rPr>
      <w:i/>
      <w:sz w:val="16"/>
      <w:szCs w:val="16"/>
      <w:lang w:val="es-ES_tradnl" w:eastAsia="en-US" w:bidi="ar-SA"/>
    </w:rPr>
  </w:style>
  <w:style w:type="paragraph" w:styleId="NormalconVietas1" w:customStyle="1">
    <w:name w:val="Normal con Viñetas 1"/>
    <w:basedOn w:val="Normal"/>
    <w:qFormat/>
    <w:rsid w:val="00d65b42"/>
    <w:pPr>
      <w:numPr>
        <w:ilvl w:val="0"/>
        <w:numId w:val="6"/>
      </w:numPr>
      <w:tabs>
        <w:tab w:val="clear" w:pos="720"/>
        <w:tab w:val="left" w:pos="600" w:leader="none"/>
      </w:tabs>
      <w:ind w:hanging="120" w:left="360"/>
    </w:pPr>
    <w:rPr/>
  </w:style>
  <w:style w:type="paragraph" w:styleId="Piedefigura" w:customStyle="1">
    <w:name w:val="pie de figura"/>
    <w:basedOn w:val="Textonormal"/>
    <w:next w:val="Normal"/>
    <w:link w:val="PiedefiguraCarCar"/>
    <w:qFormat/>
    <w:rsid w:val="00d663f2"/>
    <w:pPr>
      <w:keepNext w:val="true"/>
      <w:spacing w:before="60" w:after="60"/>
    </w:pPr>
    <w:rPr>
      <w:rFonts w:ascii="Arial" w:hAnsi="Arial"/>
      <w:sz w:val="16"/>
    </w:rPr>
  </w:style>
  <w:style w:type="paragraph" w:styleId="BlockText">
    <w:name w:val="Block Text"/>
    <w:basedOn w:val="Normal"/>
    <w:semiHidden/>
    <w:qFormat/>
    <w:pPr>
      <w:spacing w:before="60" w:after="120"/>
      <w:ind w:left="1440" w:right="1440"/>
    </w:pPr>
    <w:rPr/>
  </w:style>
  <w:style w:type="paragraph" w:styleId="Cambiodeseccion" w:customStyle="1">
    <w:name w:val="Cambio de seccion"/>
    <w:basedOn w:val="Textonormal"/>
    <w:next w:val="Ttuloseccin"/>
    <w:semiHidden/>
    <w:qFormat/>
    <w:pPr>
      <w:spacing w:before="320" w:after="0"/>
    </w:pPr>
    <w:rPr/>
  </w:style>
  <w:style w:type="paragraph" w:styleId="Listadepuntos" w:customStyle="1">
    <w:name w:val="Lista de puntos"/>
    <w:basedOn w:val="Textonormal"/>
    <w:semiHidden/>
    <w:qFormat/>
    <w:pPr>
      <w:numPr>
        <w:ilvl w:val="0"/>
        <w:numId w:val="1"/>
      </w:numPr>
      <w:spacing w:before="0" w:after="60"/>
      <w:ind w:hanging="218"/>
    </w:pPr>
    <w:rPr/>
  </w:style>
  <w:style w:type="paragraph" w:styleId="Textonormal" w:customStyle="1">
    <w:name w:val="Texto normal"/>
    <w:link w:val="TextonormalCar"/>
    <w:semiHidden/>
    <w:qFormat/>
    <w:pPr>
      <w:widowControl/>
      <w:bidi w:val="0"/>
      <w:spacing w:before="0" w:after="80"/>
      <w:jc w:val="both"/>
    </w:pPr>
    <w:rPr>
      <w:rFonts w:ascii="Times New Roman" w:hAnsi="Times New Roman" w:eastAsia="Times New Roman" w:cs="Times New Roman"/>
      <w:color w:val="auto"/>
      <w:kern w:val="0"/>
      <w:sz w:val="20"/>
      <w:szCs w:val="20"/>
      <w:lang w:bidi="he-IL" w:val="es-ES" w:eastAsia="es-ES"/>
    </w:rPr>
  </w:style>
  <w:style w:type="paragraph" w:styleId="NormalconVietas2" w:customStyle="1">
    <w:name w:val="Normal con Viñetas 2"/>
    <w:basedOn w:val="Normal"/>
    <w:qFormat/>
    <w:rsid w:val="00d65b42"/>
    <w:pPr>
      <w:numPr>
        <w:ilvl w:val="0"/>
        <w:numId w:val="2"/>
      </w:numPr>
      <w:tabs>
        <w:tab w:val="clear" w:pos="720"/>
        <w:tab w:val="left" w:pos="840" w:leader="none"/>
      </w:tabs>
      <w:ind w:hanging="360" w:left="840"/>
    </w:pPr>
    <w:rPr/>
  </w:style>
  <w:style w:type="paragraph" w:styleId="BodyText3">
    <w:name w:val="Body Text 3"/>
    <w:basedOn w:val="Normal"/>
    <w:semiHidden/>
    <w:qFormat/>
    <w:pPr/>
    <w:rPr>
      <w:rFonts w:ascii="Times New Roman" w:hAnsi="Times New Roman"/>
    </w:rPr>
  </w:style>
  <w:style w:type="paragraph" w:styleId="BodyText2">
    <w:name w:val="Body Text 2"/>
    <w:basedOn w:val="Normal"/>
    <w:semiHidden/>
    <w:qFormat/>
    <w:pPr>
      <w:jc w:val="center"/>
    </w:pPr>
    <w:rPr>
      <w:b/>
    </w:rPr>
  </w:style>
  <w:style w:type="paragraph" w:styleId="BodyTextIndent3">
    <w:name w:val="Body Text Indent 3"/>
    <w:basedOn w:val="Normal"/>
    <w:semiHidden/>
    <w:qFormat/>
    <w:pPr>
      <w:tabs>
        <w:tab w:val="clear" w:pos="720"/>
        <w:tab w:val="left" w:pos="-720" w:leader="none"/>
      </w:tabs>
      <w:suppressAutoHyphens w:val="true"/>
      <w:ind w:hanging="720" w:left="720"/>
    </w:pPr>
    <w:rPr>
      <w:rFonts w:ascii="Times New Roman" w:hAnsi="Times New Roman"/>
      <w:spacing w:val="-3"/>
      <w:lang w:val="es-ES_tradnl"/>
    </w:rPr>
  </w:style>
  <w:style w:type="paragraph" w:styleId="BodyTextIndent">
    <w:name w:val="Body Text Indent"/>
    <w:basedOn w:val="Normal"/>
    <w:semiHidden/>
    <w:pPr>
      <w:ind w:hanging="450" w:left="450"/>
    </w:pPr>
    <w:rPr>
      <w:rFonts w:ascii="Times New Roman" w:hAnsi="Times New Roman"/>
    </w:rPr>
  </w:style>
  <w:style w:type="paragraph" w:styleId="BodyTextIndent2">
    <w:name w:val="Body Text Indent 2"/>
    <w:basedOn w:val="Normal"/>
    <w:semiHidden/>
    <w:qFormat/>
    <w:pPr>
      <w:suppressAutoHyphens w:val="true"/>
    </w:pPr>
    <w:rPr>
      <w:spacing w:val="-3"/>
    </w:rPr>
  </w:style>
  <w:style w:type="paragraph" w:styleId="Textoindepe" w:customStyle="1">
    <w:name w:val="Texto indepe"/>
    <w:semiHidden/>
    <w:qFormat/>
    <w:pPr>
      <w:widowControl/>
      <w:bidi w:val="0"/>
      <w:spacing w:lineRule="auto" w:line="307" w:before="0" w:after="0"/>
      <w:jc w:val="both"/>
    </w:pPr>
    <w:rPr>
      <w:rFonts w:ascii="Times New Roman" w:hAnsi="Times New Roman" w:eastAsia="Times New Roman" w:cs="Times New Roman"/>
      <w:color w:val="auto"/>
      <w:kern w:val="0"/>
      <w:sz w:val="20"/>
      <w:szCs w:val="20"/>
      <w:lang w:val="en-GB" w:bidi="he-IL" w:eastAsia="es-ES"/>
    </w:rPr>
  </w:style>
  <w:style w:type="paragraph" w:styleId="Annotationtext">
    <w:name w:val="annotation text"/>
    <w:basedOn w:val="Normal"/>
    <w:semiHidden/>
    <w:qFormat/>
    <w:rsid w:val="00bb0427"/>
    <w:pPr/>
    <w:rPr/>
  </w:style>
  <w:style w:type="paragraph" w:styleId="Annotationsubject">
    <w:name w:val="annotation subject"/>
    <w:basedOn w:val="Annotationtext"/>
    <w:next w:val="Annotationtext"/>
    <w:semiHidden/>
    <w:qFormat/>
    <w:rsid w:val="00bb0427"/>
    <w:pPr/>
    <w:rPr>
      <w:b/>
      <w:bCs/>
    </w:rPr>
  </w:style>
  <w:style w:type="paragraph" w:styleId="BalloonText">
    <w:name w:val="Balloon Text"/>
    <w:basedOn w:val="Normal"/>
    <w:semiHidden/>
    <w:qFormat/>
    <w:rsid w:val="00bb0427"/>
    <w:pPr/>
    <w:rPr>
      <w:rFonts w:ascii="Tahoma" w:hAnsi="Tahoma" w:cs="Tahoma"/>
      <w:sz w:val="16"/>
      <w:szCs w:val="16"/>
    </w:rPr>
  </w:style>
  <w:style w:type="paragraph" w:styleId="EncabezadoResumen" w:customStyle="1">
    <w:name w:val="Encabezado Resumen"/>
    <w:basedOn w:val="Normal"/>
    <w:link w:val="EncabezadoResumenCar"/>
    <w:qFormat/>
    <w:rsid w:val="00b8434a"/>
    <w:pPr>
      <w:spacing w:before="60" w:after="120"/>
      <w:ind w:hanging="0"/>
      <w:jc w:val="left"/>
    </w:pPr>
    <w:rPr>
      <w:b/>
      <w:caps/>
      <w:sz w:val="22"/>
      <w:szCs w:val="22"/>
    </w:rPr>
  </w:style>
  <w:style w:type="paragraph" w:styleId="Ttulofigura" w:customStyle="1">
    <w:name w:val="Título figura"/>
    <w:basedOn w:val="Normal"/>
    <w:semiHidden/>
    <w:qFormat/>
    <w:rsid w:val="00bb0ca9"/>
    <w:pPr/>
    <w:rPr>
      <w:sz w:val="16"/>
    </w:rPr>
  </w:style>
  <w:style w:type="paragraph" w:styleId="ENCABEZADONIVEL1" w:customStyle="1">
    <w:name w:val="ENCABEZADO NIVEL1"/>
    <w:basedOn w:val="Normal"/>
    <w:qFormat/>
    <w:rsid w:val="006136a6"/>
    <w:pPr>
      <w:numPr>
        <w:ilvl w:val="0"/>
        <w:numId w:val="4"/>
      </w:numPr>
      <w:spacing w:before="60" w:after="120"/>
    </w:pPr>
    <w:rPr>
      <w:b/>
      <w:caps/>
      <w:sz w:val="22"/>
      <w:szCs w:val="22"/>
    </w:rPr>
  </w:style>
  <w:style w:type="paragraph" w:styleId="TtuloenEspaol" w:customStyle="1">
    <w:name w:val="Título en Español"/>
    <w:basedOn w:val="Normal"/>
    <w:qFormat/>
    <w:rsid w:val="009e2927"/>
    <w:pPr>
      <w:suppressAutoHyphens w:val="true"/>
      <w:spacing w:before="1200" w:after="0"/>
      <w:ind w:hanging="0"/>
      <w:jc w:val="center"/>
    </w:pPr>
    <w:rPr>
      <w:b/>
      <w:bCs/>
      <w:caps/>
      <w:sz w:val="32"/>
      <w:szCs w:val="32"/>
    </w:rPr>
  </w:style>
  <w:style w:type="paragraph" w:styleId="NormalconNmeros1" w:customStyle="1">
    <w:name w:val="Normal con Números 1"/>
    <w:basedOn w:val="Normal"/>
    <w:qFormat/>
    <w:rsid w:val="006c6efd"/>
    <w:pPr>
      <w:numPr>
        <w:ilvl w:val="1"/>
        <w:numId w:val="3"/>
      </w:numPr>
      <w:tabs>
        <w:tab w:val="clear" w:pos="720"/>
        <w:tab w:val="left" w:pos="567" w:leader="none"/>
      </w:tabs>
      <w:ind w:hanging="1440"/>
    </w:pPr>
    <w:rPr/>
  </w:style>
  <w:style w:type="paragraph" w:styleId="Title">
    <w:name w:val="Title"/>
    <w:basedOn w:val="Normal"/>
    <w:qFormat/>
    <w:rsid w:val="00e5543a"/>
    <w:pPr>
      <w:overflowPunct w:val="true"/>
      <w:spacing w:before="1200" w:after="240"/>
      <w:ind w:hanging="0"/>
      <w:jc w:val="center"/>
      <w:textAlignment w:val="baseline"/>
    </w:pPr>
    <w:rPr>
      <w:rFonts w:ascii="Times New Roman" w:hAnsi="Times New Roman"/>
      <w:b/>
      <w:kern w:val="2"/>
      <w:sz w:val="28"/>
      <w:lang w:val="en-US" w:eastAsia="fr-FR" w:bidi="ar-SA"/>
    </w:rPr>
  </w:style>
  <w:style w:type="paragraph" w:styleId="Tituloeningls" w:customStyle="1">
    <w:name w:val="Titulo en inglés"/>
    <w:basedOn w:val="Normal"/>
    <w:qFormat/>
    <w:rsid w:val="009e2927"/>
    <w:pPr>
      <w:suppressAutoHyphens w:val="true"/>
      <w:spacing w:before="240" w:after="240"/>
      <w:ind w:hanging="0"/>
      <w:jc w:val="center"/>
    </w:pPr>
    <w:rPr>
      <w:b/>
      <w:smallCaps/>
      <w:sz w:val="28"/>
      <w:szCs w:val="28"/>
    </w:rPr>
  </w:style>
  <w:style w:type="paragraph" w:styleId="Resumen" w:customStyle="1">
    <w:name w:val="Resumen"/>
    <w:basedOn w:val="Normal"/>
    <w:link w:val="ResumenCar"/>
    <w:qFormat/>
    <w:rsid w:val="009814f9"/>
    <w:pPr/>
    <w:rPr>
      <w:i/>
    </w:rPr>
  </w:style>
  <w:style w:type="paragraph" w:styleId="PalabrasClave" w:customStyle="1">
    <w:name w:val="Palabras Clave"/>
    <w:basedOn w:val="Normal"/>
    <w:link w:val="PalabrasClaveCar"/>
    <w:qFormat/>
    <w:rsid w:val="000c5dfb"/>
    <w:pPr>
      <w:ind w:hanging="0"/>
    </w:pPr>
    <w:rPr>
      <w:b/>
      <w:i/>
      <w:u w:val="single"/>
    </w:rPr>
  </w:style>
  <w:style w:type="paragraph" w:styleId="Cuerpo" w:customStyle="1">
    <w:name w:val="Cuerpo"/>
    <w:basedOn w:val="Normal"/>
    <w:autoRedefine/>
    <w:qFormat/>
    <w:rsid w:val="00695e3d"/>
    <w:pPr>
      <w:overflowPunct w:val="true"/>
      <w:spacing w:before="60" w:after="60"/>
      <w:ind w:hanging="0"/>
      <w:textAlignment w:val="baseline"/>
    </w:pPr>
    <w:rPr>
      <w:rFonts w:ascii="Times New Roman" w:hAnsi="Times New Roman"/>
      <w:lang w:val="en-US" w:eastAsia="fr-FR" w:bidi="ar-SA"/>
    </w:rPr>
  </w:style>
  <w:style w:type="paragraph" w:styleId="Encabezadosnivel2" w:customStyle="1">
    <w:name w:val="Encabezados nivel2"/>
    <w:basedOn w:val="ENCABEZADONIVEL1"/>
    <w:qFormat/>
    <w:rsid w:val="00654081"/>
    <w:pPr>
      <w:numPr>
        <w:ilvl w:val="1"/>
        <w:numId w:val="7"/>
      </w:numPr>
    </w:pPr>
    <w:rPr>
      <w:caps w:val="false"/>
      <w:smallCaps w:val="false"/>
    </w:rPr>
  </w:style>
  <w:style w:type="paragraph" w:styleId="Cita1" w:customStyle="1">
    <w:name w:val="Cita1"/>
    <w:basedOn w:val="Cuerpo"/>
    <w:autoRedefine/>
    <w:qFormat/>
    <w:rsid w:val="00c71655"/>
    <w:pPr>
      <w:widowControl/>
      <w:spacing w:before="0" w:after="0"/>
      <w:ind w:firstLine="144" w:left="446"/>
    </w:pPr>
    <w:rPr/>
  </w:style>
  <w:style w:type="paragraph" w:styleId="EncabezamientoNivel3" w:customStyle="1">
    <w:name w:val="Encabezamiento Nivel3"/>
    <w:basedOn w:val="Normal"/>
    <w:qFormat/>
    <w:rsid w:val="00e01440"/>
    <w:pPr>
      <w:ind w:hanging="0"/>
    </w:pPr>
    <w:rPr>
      <w:b/>
      <w:bCs/>
      <w:i/>
      <w:iCs/>
    </w:rPr>
  </w:style>
  <w:style w:type="paragraph" w:styleId="Encabezadosnivel3" w:customStyle="1">
    <w:name w:val="Encabezados nivel3"/>
    <w:basedOn w:val="Encabezadosnivel2"/>
    <w:qFormat/>
    <w:rsid w:val="006136a6"/>
    <w:pPr>
      <w:numPr>
        <w:ilvl w:val="2"/>
        <w:numId w:val="5"/>
      </w:numPr>
    </w:pPr>
    <w:rPr>
      <w:bCs/>
      <w:i/>
      <w:iCs/>
    </w:rPr>
  </w:style>
  <w:style w:type="paragraph" w:styleId="Footer">
    <w:name w:val="Footer"/>
    <w:basedOn w:val="Normal"/>
    <w:rsid w:val="001148c0"/>
    <w:pPr>
      <w:tabs>
        <w:tab w:val="clear" w:pos="720"/>
        <w:tab w:val="center" w:pos="4252" w:leader="none"/>
        <w:tab w:val="right" w:pos="8504" w:leader="none"/>
      </w:tabs>
    </w:pPr>
    <w:rPr/>
  </w:style>
  <w:style w:type="paragraph" w:styleId="CeldaTabla" w:customStyle="1">
    <w:name w:val="CeldaTabla"/>
    <w:basedOn w:val="Cuerpo"/>
    <w:autoRedefine/>
    <w:qFormat/>
    <w:rsid w:val="00a72a2e"/>
    <w:pPr>
      <w:widowControl/>
      <w:jc w:val="left"/>
    </w:pPr>
    <w:rPr/>
  </w:style>
  <w:style w:type="paragraph" w:styleId="Caption1">
    <w:name w:val="caption1"/>
    <w:basedOn w:val="Normal"/>
    <w:next w:val="Normal"/>
    <w:qFormat/>
    <w:rsid w:val="00d65b42"/>
    <w:pPr>
      <w:spacing w:before="120" w:after="120"/>
      <w:jc w:val="center"/>
    </w:pPr>
    <w:rPr>
      <w:b/>
      <w:bCs/>
      <w:sz w:val="18"/>
    </w:rPr>
  </w:style>
  <w:style w:type="paragraph" w:styleId="FootnoteText">
    <w:name w:val="Footnote Text"/>
    <w:basedOn w:val="Normal"/>
    <w:link w:val="TextonotapieCar"/>
    <w:rsid w:val="004a031b"/>
    <w:pPr/>
    <w:rPr/>
  </w:style>
  <w:style w:type="paragraph" w:styleId="References" w:customStyle="1">
    <w:name w:val="References"/>
    <w:basedOn w:val="Normal"/>
    <w:qFormat/>
    <w:rsid w:val="003b1468"/>
    <w:pPr>
      <w:widowControl/>
      <w:numPr>
        <w:ilvl w:val="0"/>
        <w:numId w:val="8"/>
      </w:numPr>
      <w:spacing w:before="0" w:after="0"/>
    </w:pPr>
    <w:rPr>
      <w:rFonts w:ascii="Times New Roman" w:hAnsi="Times New Roman"/>
      <w:sz w:val="16"/>
      <w:szCs w:val="16"/>
      <w:lang w:val="en-US" w:eastAsia="en-US" w:bidi="ar-SA"/>
    </w:rPr>
  </w:style>
  <w:style w:type="paragraph" w:styleId="IndexTerms" w:customStyle="1">
    <w:name w:val="IndexTerms"/>
    <w:basedOn w:val="Normal"/>
    <w:next w:val="Normal"/>
    <w:qFormat/>
    <w:rsid w:val="003b1468"/>
    <w:pPr>
      <w:widowControl/>
      <w:spacing w:before="0" w:after="0"/>
      <w:ind w:firstLine="202"/>
    </w:pPr>
    <w:rPr>
      <w:rFonts w:ascii="Times New Roman" w:hAnsi="Times New Roman"/>
      <w:b/>
      <w:bCs/>
      <w:sz w:val="18"/>
      <w:szCs w:val="18"/>
      <w:lang w:val="en-US" w:eastAsia="en-US" w:bidi="ar-SA"/>
    </w:rPr>
  </w:style>
  <w:style w:type="paragraph" w:styleId="Revision">
    <w:name w:val="Revision"/>
    <w:uiPriority w:val="99"/>
    <w:semiHidden/>
    <w:qFormat/>
    <w:rsid w:val="004c3bbc"/>
    <w:pPr>
      <w:widowControl/>
      <w:bidi w:val="0"/>
      <w:spacing w:before="0" w:after="0"/>
      <w:jc w:val="left"/>
    </w:pPr>
    <w:rPr>
      <w:rFonts w:ascii="Arial" w:hAnsi="Arial" w:eastAsia="Times New Roman" w:cs="Times New Roman"/>
      <w:color w:val="auto"/>
      <w:kern w:val="0"/>
      <w:sz w:val="20"/>
      <w:szCs w:val="20"/>
      <w:lang w:bidi="he-IL" w:val="es-ES" w:eastAsia="es-ES"/>
    </w:rPr>
  </w:style>
  <w:style w:type="paragraph" w:styleId="ListParagraph">
    <w:name w:val="List Paragraph"/>
    <w:basedOn w:val="Normal"/>
    <w:uiPriority w:val="34"/>
    <w:qFormat/>
    <w:rsid w:val="00423f68"/>
    <w:pPr>
      <w:spacing w:before="60" w:after="0"/>
      <w:ind w:left="720"/>
      <w:contextualSpacing/>
    </w:pPr>
    <w:rPr/>
  </w:style>
  <w:style w:type="paragraph" w:styleId="EndnoteText">
    <w:name w:val="Endnote Text"/>
    <w:basedOn w:val="Normal"/>
    <w:link w:val="TextonotaalfinalCar"/>
    <w:rsid w:val="009f2acd"/>
    <w:pPr>
      <w:spacing w:before="0" w:after="0"/>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rsid w:val="00e5427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ordanpg41@gmail.com" TargetMode="External"/><Relationship Id="rId3" Type="http://schemas.openxmlformats.org/officeDocument/2006/relationships/hyperlink" Target="mailto:mvilasvaliente@gmail.com" TargetMode="External"/><Relationship Id="rId4" Type="http://schemas.openxmlformats.org/officeDocument/2006/relationships/hyperlink" Target="mailto:mvaldivie98@gmail.com" TargetMode="External"/><Relationship Id="rId5" Type="http://schemas.openxmlformats.org/officeDocument/2006/relationships/hyperlink" Target="mailto:claudiaomtnez@gmail.com" TargetMode="External"/><Relationship Id="rId6" Type="http://schemas.openxmlformats.org/officeDocument/2006/relationships/hyperlink" Target="mailto:rigobertodermatologo@yahoo.es" TargetMode="External"/><Relationship Id="rId7" Type="http://schemas.openxmlformats.org/officeDocument/2006/relationships/hyperlink" Target="mailto:rocioog00@gmail.com" TargetMode="External"/><Relationship Id="rId8" Type="http://schemas.openxmlformats.org/officeDocument/2006/relationships/hyperlink" Target="mailto:mlbaguer@gmail.com"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hyperlink" Target="https://github.com/jordipynb/feaskles_diagnosis"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www.worldlifeexpectancy.com/es/cuba-skin-cancers" TargetMode="External"/><Relationship Id="rId20" Type="http://schemas.openxmlformats.org/officeDocument/2006/relationships/hyperlink" Target="https://my.clevelandclinic.org/health/diseases/15818-skin-cancer" TargetMode="External"/><Relationship Id="rId21" Type="http://schemas.openxmlformats.org/officeDocument/2006/relationships/hyperlink" Target="https://www.wcrf.org/cancer-trends/skin-cancer-statistics" TargetMode="External"/><Relationship Id="rId22" Type="http://schemas.openxmlformats.org/officeDocument/2006/relationships/hyperlink" Target="https://dermnetnz.org/topics/what-is-dermatology" TargetMode="External"/><Relationship Id="rId23" Type="http://schemas.openxmlformats.org/officeDocument/2006/relationships/hyperlink" Target="https://www.uptodate.com/contents/overview-of-dermoscopy" TargetMode="External"/><Relationship Id="rId24" Type="http://schemas.openxmlformats.org/officeDocument/2006/relationships/hyperlink" Target="https://en.wikipedia.org/wiki/Dermatoscopy" TargetMode="External"/><Relationship Id="rId25" Type="http://schemas.openxmlformats.org/officeDocument/2006/relationships/hyperlink" Target="https://dermoscopedia.org/ABCD_rule" TargetMode="External"/><Relationship Id="rId26" Type="http://schemas.openxmlformats.org/officeDocument/2006/relationships/hyperlink" Target="https://dermoscopedia.org/Seven_Point_Checklist" TargetMode="External"/><Relationship Id="rId27" Type="http://schemas.openxmlformats.org/officeDocument/2006/relationships/hyperlink" Target="https://dermoscopedia.org/Menzies_Method" TargetMode="External"/><Relationship Id="rId28" Type="http://schemas.openxmlformats.org/officeDocument/2006/relationships/hyperlink" Target="https://dermoscopedia.org/Pattern_analysis" TargetMode="External"/><Relationship Id="rId29" Type="http://schemas.openxmlformats.org/officeDocument/2006/relationships/hyperlink" Target="https://www.geeksforgeeks.org/ml-principal-component-analysispca" TargetMode="External"/><Relationship Id="rId30" Type="http://schemas.openxmlformats.org/officeDocument/2006/relationships/hyperlink" Target="mailto:mlbaguer@gmail.com" TargetMode="External"/><Relationship Id="rId31" Type="http://schemas.openxmlformats.org/officeDocument/2006/relationships/hyperlink" Target="mailto:mbaguer@matcom.uh.cu" TargetMode="External"/><Relationship Id="rId32" Type="http://schemas.openxmlformats.org/officeDocument/2006/relationships/hyperlink" Target="mailto:rigobertodermatologo@yahoo.es" TargetMode="External"/><Relationship Id="rId33" Type="http://schemas.openxmlformats.org/officeDocument/2006/relationships/footnotes" Target="footnotes.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wmf"/>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51E097-A9F5-430E-828F-7142ECF68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saaei99.dot</Template>
  <TotalTime>126</TotalTime>
  <Application>LibreOffice/7.6.4.1$Linux_X86_64 LibreOffice_project/60$Build-1</Application>
  <AppVersion>15.0000</AppVersion>
  <Pages>6</Pages>
  <Words>3103</Words>
  <Characters>17666</Characters>
  <CharactersWithSpaces>20605</CharactersWithSpaces>
  <Paragraphs>193</Paragraphs>
  <Company>Ministerio de la Informática y las Comunicaciones. Cuba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2023-12-28T23:47:00Z</dcterms:created>
  <dc:creator>Informática 2009</dc:creator>
  <dc:description/>
  <dc:language>es-CU</dc:language>
  <cp:lastModifiedBy/>
  <cp:lastPrinted>2017-07-06T14:18:00Z</cp:lastPrinted>
  <dcterms:modified xsi:type="dcterms:W3CDTF">2024-03-03T11:49:39Z</dcterms:modified>
  <cp:revision>6</cp:revision>
  <dc:subject>Plantilla para trabajos</dc:subject>
  <dc:title>Instrucciones para la preparación de Ponencias para Informática 2009</dc:title>
</cp:coreProperties>
</file>

<file path=docProps/custom.xml><?xml version="1.0" encoding="utf-8"?>
<Properties xmlns="http://schemas.openxmlformats.org/officeDocument/2006/custom-properties" xmlns:vt="http://schemas.openxmlformats.org/officeDocument/2006/docPropsVTypes"/>
</file>