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038C1DF0" w:rsidR="00344C43" w:rsidRDefault="00782987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06/</w:t>
      </w:r>
      <w:r w:rsidR="466A5B4E"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66FBD138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>unir todas as nações do mundo em prol da paz e do desenvolvimento, com base nos princípios da justiça, dignidade humana e no bem-estar de todos</w:t>
      </w:r>
      <w:r w:rsidR="0067757B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 xml:space="preserve">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3E615D28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</w:t>
      </w:r>
      <w:r w:rsidR="00F37A7A">
        <w:rPr>
          <w:rFonts w:ascii="Arial" w:hAnsi="Arial" w:cs="Arial"/>
          <w:b/>
          <w:bCs/>
        </w:rPr>
        <w:t xml:space="preserve">Planilha de riscos </w:t>
      </w:r>
    </w:p>
    <w:p w14:paraId="7A30216D" w14:textId="7E2BA60A" w:rsidR="00F37A7A" w:rsidRDefault="00F37A7A" w:rsidP="00F37A7A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F37A7A">
        <w:rPr>
          <w:rFonts w:ascii="Arial" w:hAnsi="Arial" w:cs="Arial"/>
          <w:b/>
          <w:bCs/>
          <w:noProof/>
        </w:rPr>
        <w:drawing>
          <wp:inline distT="0" distB="0" distL="0" distR="0" wp14:anchorId="6B8DBE83" wp14:editId="1B233231">
            <wp:extent cx="5024885" cy="1828800"/>
            <wp:effectExtent l="0" t="0" r="4445" b="0"/>
            <wp:docPr id="836524832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4832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25" cy="18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F9C49E6" w14:textId="50A11261" w:rsidR="00B205EF" w:rsidRDefault="002D4FBC" w:rsidP="00F37A7A">
      <w:pPr>
        <w:pStyle w:val="NormalWeb"/>
      </w:pPr>
      <w:r>
        <w:rPr>
          <w:noProof/>
        </w:rPr>
        <w:lastRenderedPageBreak/>
        <w:drawing>
          <wp:inline distT="0" distB="0" distL="0" distR="0" wp14:anchorId="730CC27D" wp14:editId="5629B043">
            <wp:extent cx="5921205" cy="3329940"/>
            <wp:effectExtent l="0" t="0" r="3810" b="3810"/>
            <wp:docPr id="17810832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323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27" cy="33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28BFE678" w14:textId="443656D1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E68CD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57999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C526E"/>
    <w:rsid w:val="002D120A"/>
    <w:rsid w:val="002D4C93"/>
    <w:rsid w:val="002D4FBC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426F4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7757B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2987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5AEB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1044B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0B0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37A7A"/>
    <w:rsid w:val="00F44405"/>
    <w:rsid w:val="00F45057"/>
    <w:rsid w:val="00F65F84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1527</Words>
  <Characters>8246</Characters>
  <Application>Microsoft Office Word</Application>
  <DocSecurity>0</DocSecurity>
  <Lines>68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246</cp:revision>
  <dcterms:created xsi:type="dcterms:W3CDTF">2024-05-02T15:15:00Z</dcterms:created>
  <dcterms:modified xsi:type="dcterms:W3CDTF">2024-06-14T00:35:00Z</dcterms:modified>
</cp:coreProperties>
</file>