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FIAP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DATA SCIENCE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Grupo Octant</w:t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Projeto BeeHive</w:t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São Paulo</w:t>
      </w:r>
    </w:p>
    <w:p w:rsidR="00000000" w:rsidDel="00000000" w:rsidP="00000000" w:rsidRDefault="00000000" w:rsidRPr="00000000" w14:paraId="0000001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2025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/>
      </w:pPr>
      <w:bookmarkStart w:colFirst="0" w:colLast="0" w:name="_8jt33anwulsf" w:id="0"/>
      <w:bookmarkEnd w:id="0"/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id w:val="-21004583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jt33anwul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5kpyxdsmz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hbfa5b55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-1 – Ruídos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f45hljti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0 – Inativos (Long Tail)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q9ei6hcs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1 – Ativos de Médio Porte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fnzp7g1y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2 – Recentes com Baixo Ticket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z3s0djan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3 – Clientes Recentes e Estratégicos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ebb25j5u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4 – Key Accounts (Alto Valor)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uawaloio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jah0gjis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b7ne7485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RFM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7jqwby3k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cydgeij9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sauactwr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Monetário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tlvlg2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sr5p237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Fonte e Preparação dos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n8qnqck8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Fonte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ajwfdg9x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Variáveis RFM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ntemtc3v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Monetário (M)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w2vloxlm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Recência (R)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zin6kz2t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Frequência (F)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ob33fnzr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Transformações Aplicadas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5ktg5kyij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z08aldt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-1  - Ruídos (13 clientes)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sdjn8hke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0  - Clientes inativos- Long Tail (2485 clientes)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yx4gestd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1 -  Clientes Ativos de Médio Porte (3816 clientes)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e0s3wfp8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2 -  Recentes com Baixo Ticket (827 clientes)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bnki9vri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3 -  Clientes Recentes e Estratégicos (1689 clientes)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uqi2rkg5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4  -  Key Accounts (1785 clientes)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16gs49px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Visualização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ut81e6rjg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e Avaliação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vb2fopbd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Distribuição dos Clusters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4jy4tamf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de Avaliação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8y8upn2t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sb5kpyxdsmzx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Este projeto teve como objetivo segmentar a base de clientes da TOTVS por meio de técnicas de clusterização aplicadas sobre variáveis RFM (Recência, Frequência e Monetário), combinadas a indicadores de NPS, Tickets e Faixa de Faturamento.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partir da clusterização e dos insights gerados temos o objetivo de auxiliar a TOTVS a conseguir atuar em sua base de clientes, prevenindo churn aumentando a retenção de clientes estratégicos e reativando clientes perdidos. segue abaixo um resumo dos clusters encontros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jxhbfa5b550v" w:id="2"/>
      <w:bookmarkEnd w:id="2"/>
      <w:r w:rsidDel="00000000" w:rsidR="00000000" w:rsidRPr="00000000">
        <w:rPr>
          <w:rtl w:val="0"/>
        </w:rPr>
        <w:t xml:space="preserve">Cluster -1 – Ruídos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Este cluster reúne apenas 13 clientes sem padrões consistentes de comportamento. As variáveis de faturamento, NPS e tickets não apresentam consistência analítica, caracterizando o grupo como um conjunto de ruídos.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bookmarkStart w:colFirst="0" w:colLast="0" w:name="_23cf45hljtic" w:id="3"/>
      <w:bookmarkEnd w:id="3"/>
      <w:r w:rsidDel="00000000" w:rsidR="00000000" w:rsidRPr="00000000">
        <w:rPr>
          <w:rtl w:val="0"/>
        </w:rPr>
        <w:t xml:space="preserve">Cluster 0 – Inativos (Long Tail)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Formado por clientes com recência muito alta (cerca de 550 a 700 dias), frequência e monetário praticamente nulos, o que indica ausência de receita recorrente.Este cluster representa clientes cancelados ou contratos antigos, sem relacionamento ativo, mas que podem ser alvo de estratégias de reativação.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both"/>
        <w:rPr/>
      </w:pPr>
      <w:bookmarkStart w:colFirst="0" w:colLast="0" w:name="_qeq9ei6hcs8e" w:id="4"/>
      <w:bookmarkEnd w:id="4"/>
      <w:r w:rsidDel="00000000" w:rsidR="00000000" w:rsidRPr="00000000">
        <w:rPr>
          <w:rtl w:val="0"/>
        </w:rPr>
        <w:t xml:space="preserve">Cluster 1 – Ativos de Médio Porte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Com recência longa (550 a 725 dias), frequência baixa e receita quase nula, este grupo reúne clientes que já adquiriram produtos, mas não se engajaram plenamente.São clientes que possivelmente tiveram baixa adesão ou insatisfação, necessitando estratégias de recuperação de relacionamento.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dnfnzp7g1yui" w:id="5"/>
      <w:bookmarkEnd w:id="5"/>
      <w:r w:rsidDel="00000000" w:rsidR="00000000" w:rsidRPr="00000000">
        <w:rPr>
          <w:rtl w:val="0"/>
        </w:rPr>
        <w:t xml:space="preserve">Cluster 2 – Recentes com Baixo Ticket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Concentrado em clientes mais recentes (150 a 300 dias), com contratos únicos ou poucos (1 a 3), mas praticamente sem </w:t>
      </w:r>
      <w:r w:rsidDel="00000000" w:rsidR="00000000" w:rsidRPr="00000000">
        <w:rPr>
          <w:rtl w:val="0"/>
        </w:rPr>
        <w:t xml:space="preserve">monetário</w:t>
      </w:r>
      <w:r w:rsidDel="00000000" w:rsidR="00000000" w:rsidRPr="00000000">
        <w:rPr>
          <w:rtl w:val="0"/>
        </w:rPr>
        <w:t xml:space="preserve"> (MRR) registrado.Este grupo representa clientes novos ou reativados, de baixo valor, que ainda não consolidaram receita recorrente, mas com potencial de evolução.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bookmarkStart w:colFirst="0" w:colLast="0" w:name="_i6z3s0djan1q" w:id="6"/>
      <w:bookmarkEnd w:id="6"/>
      <w:r w:rsidDel="00000000" w:rsidR="00000000" w:rsidRPr="00000000">
        <w:rPr>
          <w:rtl w:val="0"/>
        </w:rPr>
        <w:t xml:space="preserve">Cluster 3 – Clientes Recentes e Estratégicos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Com recência baixa (175 a 225 dias) e frequência maior (até 20 contratos), este cluster reúne clientes presentes em faixas de faturamento elevadas, os clientes apresentam estabilidade operacional e alto potencial de expansão, sendo considerados estratégicos.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both"/>
        <w:rPr/>
      </w:pPr>
      <w:bookmarkStart w:colFirst="0" w:colLast="0" w:name="_n1ebb25j5u0h" w:id="7"/>
      <w:bookmarkEnd w:id="7"/>
      <w:r w:rsidDel="00000000" w:rsidR="00000000" w:rsidRPr="00000000">
        <w:rPr>
          <w:rtl w:val="0"/>
        </w:rPr>
        <w:t xml:space="preserve">Cluster 4 – Key Accounts (Alto Valor)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Agrupa clientes ativos com recência entre 200 e 300 dias, frequência baixa (1 contrato), mas com valores monetários muito elevados em casos específicos, chegando a bilhões. Há representatividade em todas as faixas de faturamento, especialmente acima de 75 milhões. Os NPS apresentam comportamento bimodal, com notas neutras ou muito altas (9 e 10), e os </w:t>
      </w:r>
      <w:r w:rsidDel="00000000" w:rsidR="00000000" w:rsidRPr="00000000">
        <w:rPr>
          <w:i w:val="1"/>
          <w:rtl w:val="0"/>
        </w:rPr>
        <w:t xml:space="preserve">tickets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variam de baixos até casos extremos acima de 1.500. Este cluster representa clientes de alto valor, estratégicos para retenção e com grande potencial de expansão via cross-sell e up-sell.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/>
      </w:pPr>
      <w:bookmarkStart w:colFirst="0" w:colLast="0" w:name="_v1uawaloioaw" w:id="8"/>
      <w:bookmarkEnd w:id="8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Com uma base de clientes extensa e heterogênea a TOTVS tem uma grande dificuldade em compreender a sua carteira de clientes e ajustar sua abordagem/jornada para cada cliente, tornando-se necessário identificar padrões de comportamento que permitam: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Reter clientes estratégicos.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Reativar clientes inativos.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oportunidades de expansão (cross-sell, up-sell).</w:t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hxjah0gjisio" w:id="9"/>
      <w:bookmarkEnd w:id="9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1vb7ne7485wx" w:id="10"/>
      <w:bookmarkEnd w:id="10"/>
      <w:r w:rsidDel="00000000" w:rsidR="00000000" w:rsidRPr="00000000">
        <w:rPr>
          <w:rtl w:val="0"/>
        </w:rPr>
        <w:t xml:space="preserve">RFM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A segmentação RFM é utilizada para o ranqueamento e segmentação de consumidores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com base no seu comportamento de compras. Esse método é especialmente útil em setores onde há alto número de clientes realizando transações, como no varejo e no e-commerce Christy et al. 2021]. Nesse método, os clientes são agrupados em três dimensões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3"/>
        <w:rPr>
          <w:b w:val="1"/>
          <w:color w:val="000000"/>
        </w:rPr>
      </w:pPr>
      <w:bookmarkStart w:colFirst="0" w:colLast="0" w:name="_cw7jqwby3kua" w:id="11"/>
      <w:bookmarkEnd w:id="11"/>
      <w:r w:rsidDel="00000000" w:rsidR="00000000" w:rsidRPr="00000000">
        <w:rPr>
          <w:rtl w:val="0"/>
        </w:rPr>
        <w:t xml:space="preserve">Recência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efere-se ao número de dias desde que um consumidor realizou sua última compra. Para o ranqueamento, quanto menor for esse número, maior é a pontuação de recência. A base de consumidores é dividida em quintis, onde os 20% de clientes mais recentes recebem a pontuação máxima de 5, e os demais Recebem pontuações decrescentes até 1 [Hughes 1994, Wei et al. 2010].</w:t>
      </w:r>
    </w:p>
    <w:p w:rsidR="00000000" w:rsidDel="00000000" w:rsidP="00000000" w:rsidRDefault="00000000" w:rsidRPr="00000000" w14:paraId="00000060">
      <w:pPr>
        <w:pStyle w:val="Heading3"/>
        <w:jc w:val="both"/>
        <w:rPr/>
      </w:pPr>
      <w:bookmarkStart w:colFirst="0" w:colLast="0" w:name="_incydgeij9f7" w:id="12"/>
      <w:bookmarkEnd w:id="12"/>
      <w:r w:rsidDel="00000000" w:rsidR="00000000" w:rsidRPr="00000000">
        <w:rPr>
          <w:rtl w:val="0"/>
        </w:rPr>
        <w:t xml:space="preserve">Frequência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É definida como o número de compras que um consumidor fez dentro de um período. Também é classificada de 1 a 5 [Hughes 1994, Wei et al. 2010]. </w:t>
      </w:r>
    </w:p>
    <w:p w:rsidR="00000000" w:rsidDel="00000000" w:rsidP="00000000" w:rsidRDefault="00000000" w:rsidRPr="00000000" w14:paraId="00000062">
      <w:pPr>
        <w:pStyle w:val="Heading3"/>
        <w:jc w:val="both"/>
        <w:rPr/>
      </w:pPr>
      <w:bookmarkStart w:colFirst="0" w:colLast="0" w:name="_b1sauactwr9j" w:id="13"/>
      <w:bookmarkEnd w:id="13"/>
      <w:r w:rsidDel="00000000" w:rsidR="00000000" w:rsidRPr="00000000">
        <w:rPr>
          <w:rtl w:val="0"/>
        </w:rPr>
        <w:t xml:space="preserve">Valor Monetário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orresponde ao total de dinheiro gasto pelo consumidor em um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período. Nesse caso, a pontuação varia de 1 a 5, com critério análogo à dimensão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de Recência [Hughes 1994, Wei et al. 2010]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vjtlvlg25sf" w:id="14"/>
      <w:bookmarkEnd w:id="14"/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O HDBSCAN (Hierarchical Density-Based Spatial Clustering of Applications with Noise) é uma evolução do DBSCAN, projetada para lidar melhor com conjuntos de dados complexos, distribuídos de forma irregular e com densidades diferentes.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Enquanto o DBSCAN encontra clusters baseando-se em regiões de alta densidade separadas por regiões de baixa densidade, ele exige dois parâmetros principais: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eps (raio de vizinhança)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minPts (número mínimo de pontos para formar um cluster)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O problema é que o DBSCAN assume densidade uniforme entre clusters, o que nem sempre acontece. O HDBSCAN resolve isso criando uma hierarquia de clusters baseada em densidade variável e selecionando a solução mais estável dessa hierarquia.</w:t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5psr5p237hrw" w:id="15"/>
      <w:bookmarkEnd w:id="15"/>
      <w:r w:rsidDel="00000000" w:rsidR="00000000" w:rsidRPr="00000000">
        <w:rPr>
          <w:rtl w:val="0"/>
        </w:rPr>
        <w:t xml:space="preserve">Fonte e Preparação dos Dados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mwn8qnqck8cj" w:id="16"/>
      <w:bookmarkEnd w:id="16"/>
      <w:r w:rsidDel="00000000" w:rsidR="00000000" w:rsidRPr="00000000">
        <w:rPr>
          <w:rtl w:val="0"/>
        </w:rPr>
        <w:t xml:space="preserve">Fonte de Dados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Todos os dados usados no projeto foram cedidos pela TOTVS.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ra77zaqhx3w" w:id="17"/>
      <w:bookmarkEnd w:id="17"/>
      <w:r w:rsidDel="00000000" w:rsidR="00000000" w:rsidRPr="00000000">
        <w:rPr>
          <w:rtl w:val="0"/>
        </w:rPr>
        <w:t xml:space="preserve">Relação entre Arquivos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Por meio do </w:t>
      </w:r>
      <w:r w:rsidDel="00000000" w:rsidR="00000000" w:rsidRPr="00000000">
        <w:rPr>
          <w:i w:val="1"/>
          <w:rtl w:val="0"/>
        </w:rPr>
        <w:t xml:space="preserve">cliente_id </w:t>
      </w:r>
      <w:r w:rsidDel="00000000" w:rsidR="00000000" w:rsidRPr="00000000">
        <w:rPr>
          <w:rtl w:val="0"/>
        </w:rPr>
        <w:t xml:space="preserve">relacionamos as bases de dados_clientes, MRR e contratacoes_ultimos_12_meses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4fajwfdg9xs6" w:id="18"/>
      <w:bookmarkEnd w:id="18"/>
      <w:r w:rsidDel="00000000" w:rsidR="00000000" w:rsidRPr="00000000">
        <w:rPr>
          <w:rtl w:val="0"/>
        </w:rPr>
        <w:t xml:space="preserve">Variáveis RFM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k2ntemtc3va2" w:id="19"/>
      <w:bookmarkEnd w:id="19"/>
      <w:r w:rsidDel="00000000" w:rsidR="00000000" w:rsidRPr="00000000">
        <w:rPr>
          <w:rtl w:val="0"/>
        </w:rPr>
        <w:t xml:space="preserve">Monetário (M)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MRR médio dos últimos 12 meses. (Arquivo: MRR)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rjw2vloxlmz4" w:id="20"/>
      <w:bookmarkEnd w:id="20"/>
      <w:r w:rsidDel="00000000" w:rsidR="00000000" w:rsidRPr="00000000">
        <w:rPr>
          <w:rtl w:val="0"/>
        </w:rPr>
        <w:t xml:space="preserve">Recência (R)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 da assinatura do contrato mais recente (Arquivo: dados_clientes)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71zin6kz2tod" w:id="21"/>
      <w:bookmarkEnd w:id="21"/>
      <w:r w:rsidDel="00000000" w:rsidR="00000000" w:rsidRPr="00000000">
        <w:rPr>
          <w:rtl w:val="0"/>
        </w:rPr>
        <w:t xml:space="preserve">Frequência (F)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Número de contratações nos últimos 12 meses (Arquivo: Contratacoes_ultimos_12_meses)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5rlqu4l68lz1" w:id="22"/>
      <w:bookmarkEnd w:id="22"/>
      <w:r w:rsidDel="00000000" w:rsidR="00000000" w:rsidRPr="00000000">
        <w:rPr>
          <w:rtl w:val="0"/>
        </w:rPr>
        <w:t xml:space="preserve">Distribuições RFM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Distribuições fortemente assimétricas que dificultam a separação de clusters, aumentando a sensibilidade a outliers.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359600" cy="21387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213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Figura 1: A maioria dos clientes tem valores baixos de recência existe um número significativo de clientes antigos sem novas contratações, o que estende a cauda para a direita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59600" cy="21458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214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Figura 2: A distribuição está fortemente concentrada à esquerda (próximo de zero) e tem uma cauda longa à direita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59600" cy="21458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00" cy="214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Figura 3: A maioria dos clientes tem MRR médio muito baixo e poucos clientes têm MRR muito altos, o que “puxa” a cauda da distribuição.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Solução: Tornar as distribuições mais próximas de normal, melhorando a separação e estabilidade, por uma seleção automática por coluna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3pob33fnzr38" w:id="23"/>
      <w:bookmarkEnd w:id="23"/>
      <w:r w:rsidDel="00000000" w:rsidR="00000000" w:rsidRPr="00000000">
        <w:rPr>
          <w:rtl w:val="0"/>
        </w:rPr>
        <w:t xml:space="preserve">Transformações Aplicadas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Box-Cox e Yeo-Johnson para aproximar distribuições da normalidade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Padronização com StandardScaler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 código implementa uma pipeline de segmentação de clientes utilizando métricas </w:t>
      </w:r>
      <w:r w:rsidDel="00000000" w:rsidR="00000000" w:rsidRPr="00000000">
        <w:rPr>
          <w:b w:val="1"/>
          <w:rtl w:val="0"/>
        </w:rPr>
        <w:t xml:space="preserve">RFM</w:t>
      </w:r>
      <w:r w:rsidDel="00000000" w:rsidR="00000000" w:rsidRPr="00000000">
        <w:rPr>
          <w:rtl w:val="0"/>
        </w:rPr>
        <w:t xml:space="preserve"> e clusterização com </w:t>
      </w:r>
      <w:r w:rsidDel="00000000" w:rsidR="00000000" w:rsidRPr="00000000">
        <w:rPr>
          <w:b w:val="1"/>
          <w:rtl w:val="0"/>
        </w:rPr>
        <w:t xml:space="preserve">HDBSCAN Flat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Aplicamos um limite superior de 720 dias na Recência — isso significa que, mesmo que existam clientes inativos há mais tempo, eles são tratados como se estivessem nesse teto. Assim, evitamos que esses casos extremos prejudiquem o cálculo das distâncias do algoritmo de clusterização.”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Efeito: melhorar estabilidade e separação dos clusters, mantendo a interpretação “2 anos ou mais” como um nível de inatividade.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 variáveis Recência, Frequência e Monetário passam por transformações estatísticas: Box-Cox é aplicado em variáveis estritamente positivas e Yeo-Johnson nas demais. O objetivo é reduzir a assimetria e aproximar as distribuições da normalidade. Depois, o StandardScaler padroniza todas as variáveis, garantindo que estejam na mesma escala.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 os dados preparados, aplica-se o HDBSCAN Flat, configurado para 5 clusters, min_cluster_size=120 e min_samples=10.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Esse algoritmo é robusto a ruídos, encontra clusters de diferentes densidades e gera rótulos para cada cliente. Por fim, os resultados são adicionados ao DataFrame, que contém CD_CLIENTE, as métricas RFM e o cluster atribuído.</w:t>
      </w:r>
    </w:p>
    <w:p w:rsidR="00000000" w:rsidDel="00000000" w:rsidP="00000000" w:rsidRDefault="00000000" w:rsidRPr="00000000" w14:paraId="00000093">
      <w:pPr>
        <w:pStyle w:val="Heading1"/>
        <w:jc w:val="center"/>
        <w:rPr/>
      </w:pPr>
      <w:bookmarkStart w:colFirst="0" w:colLast="0" w:name="_ej5ktg5kyijk" w:id="24"/>
      <w:bookmarkEnd w:id="24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94">
      <w:pPr>
        <w:pStyle w:val="Heading2"/>
        <w:rPr>
          <w:sz w:val="22"/>
          <w:szCs w:val="22"/>
        </w:rPr>
      </w:pPr>
      <w:bookmarkStart w:colFirst="0" w:colLast="0" w:name="_vxz08aldtcw3" w:id="25"/>
      <w:bookmarkEnd w:id="25"/>
      <w:r w:rsidDel="00000000" w:rsidR="00000000" w:rsidRPr="00000000">
        <w:rPr>
          <w:i w:val="1"/>
          <w:rtl w:val="0"/>
        </w:rPr>
        <w:t xml:space="preserve">Cluster -1 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Ruídos </w:t>
      </w:r>
      <w:r w:rsidDel="00000000" w:rsidR="00000000" w:rsidRPr="00000000">
        <w:rPr>
          <w:sz w:val="22"/>
          <w:szCs w:val="22"/>
          <w:rtl w:val="0"/>
        </w:rPr>
        <w:t xml:space="preserve">(13 clientes)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Cluster -1 representa um grupo com apenas 13 clientes distribuídos em diferentes segmentos. Não apresenta padrões consistentes de comportamento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</w:t>
      </w:r>
      <w:r w:rsidDel="00000000" w:rsidR="00000000" w:rsidRPr="00000000">
        <w:rPr>
          <w:sz w:val="24"/>
          <w:szCs w:val="24"/>
          <w:rtl w:val="0"/>
        </w:rPr>
        <w:t xml:space="preserve"> valores distribuídos em diferentes faixas, sem concentração dominante.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 e Transacional:</w:t>
      </w:r>
      <w:r w:rsidDel="00000000" w:rsidR="00000000" w:rsidRPr="00000000">
        <w:rPr>
          <w:sz w:val="24"/>
          <w:szCs w:val="24"/>
          <w:rtl w:val="0"/>
        </w:rPr>
        <w:t xml:space="preserve"> poucos registros, sem consistência para análise.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Tickets:</w:t>
      </w:r>
      <w:r w:rsidDel="00000000" w:rsidR="00000000" w:rsidRPr="00000000">
        <w:rPr>
          <w:sz w:val="24"/>
          <w:szCs w:val="24"/>
          <w:rtl w:val="0"/>
        </w:rPr>
        <w:t xml:space="preserve"> alguns clientes com valores altos, mas a maioria sem movimentação relevante.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79sdjn8hkera" w:id="26"/>
      <w:bookmarkEnd w:id="26"/>
      <w:r w:rsidDel="00000000" w:rsidR="00000000" w:rsidRPr="00000000">
        <w:rPr>
          <w:i w:val="1"/>
          <w:rtl w:val="0"/>
        </w:rPr>
        <w:t xml:space="preserve">Cluster 0 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Clientes inativos- Long Tail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color w:val="1f2328"/>
          <w:sz w:val="22"/>
          <w:szCs w:val="22"/>
          <w:highlight w:val="white"/>
          <w:rtl w:val="0"/>
        </w:rPr>
        <w:t xml:space="preserve">2485 clientes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RFM: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:</w:t>
      </w:r>
      <w:r w:rsidDel="00000000" w:rsidR="00000000" w:rsidRPr="00000000">
        <w:rPr>
          <w:sz w:val="24"/>
          <w:szCs w:val="24"/>
          <w:rtl w:val="0"/>
        </w:rPr>
        <w:t xml:space="preserve"> Concentrada em valores altos (entre ~550 e 700 dias), indicando clientes sem contato há muito tempo.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:</w:t>
      </w:r>
      <w:r w:rsidDel="00000000" w:rsidR="00000000" w:rsidRPr="00000000">
        <w:rPr>
          <w:sz w:val="24"/>
          <w:szCs w:val="24"/>
          <w:rtl w:val="0"/>
        </w:rPr>
        <w:t xml:space="preserve"> Constante e próxima de 0,  clientes sem interações no período.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 :</w:t>
      </w:r>
      <w:r w:rsidDel="00000000" w:rsidR="00000000" w:rsidRPr="00000000">
        <w:rPr>
          <w:sz w:val="24"/>
          <w:szCs w:val="24"/>
          <w:rtl w:val="0"/>
        </w:rPr>
        <w:t xml:space="preserve"> Também constante em 0, sugerindo ausência de receita recorrente registrada neste cluster.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</w:t>
      </w:r>
      <w:r w:rsidDel="00000000" w:rsidR="00000000" w:rsidRPr="00000000">
        <w:rPr>
          <w:sz w:val="24"/>
          <w:szCs w:val="24"/>
          <w:rtl w:val="0"/>
        </w:rPr>
        <w:t xml:space="preserve"> Concentrada em valores baixos (faixas iniciais), com longa cauda de poucos clientes em faixas mais altas.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 e NPS Transaciona:</w:t>
      </w:r>
      <w:r w:rsidDel="00000000" w:rsidR="00000000" w:rsidRPr="00000000">
        <w:rPr>
          <w:sz w:val="24"/>
          <w:szCs w:val="24"/>
          <w:rtl w:val="0"/>
        </w:rPr>
        <w:t xml:space="preserve"> sem registros</w:t>
        <w:br w:type="textWrapping"/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Tickets:</w:t>
      </w:r>
      <w:r w:rsidDel="00000000" w:rsidR="00000000" w:rsidRPr="00000000">
        <w:rPr>
          <w:sz w:val="24"/>
          <w:szCs w:val="24"/>
          <w:rtl w:val="0"/>
        </w:rPr>
        <w:t xml:space="preserve"> Constante em 304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Segmentos: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Varejo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Manufatura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esse cenário, é possível que sejam clientes cancelados há muito tempo que ainda estão na base mas sem relacionamento ativo, sem geração de receita recorrente e com baixo engajamento.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clientes podem representar: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base legada (contratos antigos não atualizados).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 de reativação (se houver estratégia de campanhas de recuperação específicas para baixo ticket).</w:t>
      </w:r>
    </w:p>
    <w:p w:rsidR="00000000" w:rsidDel="00000000" w:rsidP="00000000" w:rsidRDefault="00000000" w:rsidRPr="00000000" w14:paraId="000000AE">
      <w:pPr>
        <w:pStyle w:val="Heading2"/>
        <w:rPr>
          <w:b w:val="1"/>
        </w:rPr>
      </w:pPr>
      <w:bookmarkStart w:colFirst="0" w:colLast="0" w:name="_b7yx4gestdet" w:id="27"/>
      <w:bookmarkEnd w:id="27"/>
      <w:r w:rsidDel="00000000" w:rsidR="00000000" w:rsidRPr="00000000">
        <w:rPr>
          <w:i w:val="1"/>
          <w:rtl w:val="0"/>
        </w:rPr>
        <w:t xml:space="preserve">Cluster 1 -  </w:t>
      </w:r>
      <w:r w:rsidDel="00000000" w:rsidR="00000000" w:rsidRPr="00000000">
        <w:rPr>
          <w:b w:val="1"/>
          <w:rtl w:val="0"/>
        </w:rPr>
        <w:t xml:space="preserve">Clientes Ativos de Médio Porte </w:t>
      </w:r>
      <w:r w:rsidDel="00000000" w:rsidR="00000000" w:rsidRPr="00000000">
        <w:rPr>
          <w:sz w:val="22"/>
          <w:szCs w:val="22"/>
          <w:rtl w:val="0"/>
        </w:rPr>
        <w:t xml:space="preserve">(3816 clientes)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RFM: 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concentrado em 725, mas inicia em 550 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 constante em 0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 concentrado em 0, mas que vai até 4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</w:t>
      </w:r>
      <w:r w:rsidDel="00000000" w:rsidR="00000000" w:rsidRPr="00000000">
        <w:rPr>
          <w:sz w:val="24"/>
          <w:szCs w:val="24"/>
          <w:rtl w:val="0"/>
        </w:rPr>
        <w:t xml:space="preserve"> a maioria sem informações; entre os que possuem registros, destaque para: </w:t>
      </w:r>
      <w:r w:rsidDel="00000000" w:rsidR="00000000" w:rsidRPr="00000000">
        <w:rPr>
          <w:i w:val="1"/>
          <w:sz w:val="24"/>
          <w:szCs w:val="24"/>
          <w:rtl w:val="0"/>
        </w:rPr>
        <w:t xml:space="preserve">Faixa 00 – Até 4,5M   / Faixa 03 – De 15M até 25M /   Faixa 09 – De 300M até 500M</w:t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Relacional:</w:t>
      </w:r>
      <w:r w:rsidDel="00000000" w:rsidR="00000000" w:rsidRPr="00000000">
        <w:rPr>
          <w:sz w:val="24"/>
          <w:szCs w:val="24"/>
          <w:rtl w:val="0"/>
        </w:rPr>
        <w:t xml:space="preserve"> concentrado em 0, com poucos clientes acima de 8.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Transacional:</w:t>
      </w:r>
      <w:r w:rsidDel="00000000" w:rsidR="00000000" w:rsidRPr="00000000">
        <w:rPr>
          <w:sz w:val="24"/>
          <w:szCs w:val="24"/>
          <w:rtl w:val="0"/>
        </w:rPr>
        <w:t xml:space="preserve"> concentrado em 0, com alguns valores acima de 8.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Tickets:</w:t>
      </w:r>
      <w:r w:rsidDel="00000000" w:rsidR="00000000" w:rsidRPr="00000000">
        <w:rPr>
          <w:sz w:val="24"/>
          <w:szCs w:val="24"/>
          <w:rtl w:val="0"/>
        </w:rPr>
        <w:t xml:space="preserve"> concentrados em 0, poucos registros relevantes.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Segmentos: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Manufatura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Varejo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Subsegmentos: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Atacadista e Distribuidor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Provedor de Serviços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este cenário, é possível que esses clientes tenham comprado algum produto Totvs, e não gostaram ou a adesão não foi completa por parte da empresa, isso porque o tempo de recência é muito longo, a frequência de aquisição é ruim, e apesar das notas de NPS terem uma concentração  em 0, os tickets são poucos também</w:t>
      </w:r>
    </w:p>
    <w:p w:rsidR="00000000" w:rsidDel="00000000" w:rsidP="00000000" w:rsidRDefault="00000000" w:rsidRPr="00000000" w14:paraId="000000C1">
      <w:pPr>
        <w:pStyle w:val="Heading2"/>
        <w:rPr>
          <w:b w:val="1"/>
        </w:rPr>
      </w:pPr>
      <w:bookmarkStart w:colFirst="0" w:colLast="0" w:name="_woe0s3wfp8ze" w:id="28"/>
      <w:bookmarkEnd w:id="28"/>
      <w:r w:rsidDel="00000000" w:rsidR="00000000" w:rsidRPr="00000000">
        <w:rPr>
          <w:i w:val="1"/>
          <w:rtl w:val="0"/>
        </w:rPr>
        <w:t xml:space="preserve">Cluster 2 -  </w:t>
      </w:r>
      <w:r w:rsidDel="00000000" w:rsidR="00000000" w:rsidRPr="00000000">
        <w:rPr>
          <w:b w:val="1"/>
          <w:rtl w:val="0"/>
        </w:rPr>
        <w:t xml:space="preserve">Recentes com Baixo Ticket </w:t>
      </w:r>
      <w:r w:rsidDel="00000000" w:rsidR="00000000" w:rsidRPr="00000000">
        <w:rPr>
          <w:sz w:val="22"/>
          <w:szCs w:val="22"/>
          <w:rtl w:val="0"/>
        </w:rPr>
        <w:t xml:space="preserve">(827 clientes)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RFM: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:</w:t>
      </w:r>
      <w:r w:rsidDel="00000000" w:rsidR="00000000" w:rsidRPr="00000000">
        <w:rPr>
          <w:sz w:val="24"/>
          <w:szCs w:val="24"/>
          <w:rtl w:val="0"/>
        </w:rPr>
        <w:t xml:space="preserve"> concentrada em valores mais baixos (150 a 300 dias), ou seja, clientes com interações relativamente recentes em comparação com outros clusters.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: Variando entre 1 e 3, com destaque para frequência 1 (contrato único) e alguns casos até 4 ou 5.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M: </w:t>
      </w:r>
      <w:r w:rsidDel="00000000" w:rsidR="00000000" w:rsidRPr="00000000">
        <w:rPr>
          <w:sz w:val="24"/>
          <w:szCs w:val="24"/>
          <w:rtl w:val="0"/>
        </w:rPr>
        <w:t xml:space="preserve">constante em 0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</w:t>
      </w:r>
      <w:r w:rsidDel="00000000" w:rsidR="00000000" w:rsidRPr="00000000">
        <w:rPr>
          <w:sz w:val="24"/>
          <w:szCs w:val="24"/>
          <w:rtl w:val="0"/>
        </w:rPr>
        <w:t xml:space="preserve"> concentrada em valores baixos, mas com alguns clientes em faixas intermediárias.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 e Transacional: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poucos registros, com dispersão entre 6 e 8 → percepção neutra/levemente positiva.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</w:t>
      </w:r>
      <w:r w:rsidDel="00000000" w:rsidR="00000000" w:rsidRPr="00000000">
        <w:rPr>
          <w:sz w:val="24"/>
          <w:szCs w:val="24"/>
          <w:rtl w:val="0"/>
        </w:rPr>
        <w:t xml:space="preserve">: dispersão ampla, com alguns clientes registrando valores altos, mas a maioria próxima do padrão.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Segmentos: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Varejo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Manufatura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Subsegmentos: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Provedor de Serviços</w:t>
      </w:r>
    </w:p>
    <w:p w:rsidR="00000000" w:rsidDel="00000000" w:rsidP="00000000" w:rsidRDefault="00000000" w:rsidRPr="00000000" w14:paraId="000000D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Viagens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Construtoras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Cluster 2 concentra clientes mais recentes em relação a outros grupos, mas com baixa frequência de interações e praticamente sem monetário registrado. Os principais segmentos são Serviços e Varejo, com grande peso em Provedores de Serviços.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um grupo de clientes novos ou reativados, de baixo valor, que ainda não consolidaram receita recorrente, mas têm potencial de evolução no relacionamento.</w:t>
      </w:r>
    </w:p>
    <w:p w:rsidR="00000000" w:rsidDel="00000000" w:rsidP="00000000" w:rsidRDefault="00000000" w:rsidRPr="00000000" w14:paraId="000000D4">
      <w:pPr>
        <w:pStyle w:val="Heading2"/>
        <w:rPr>
          <w:b w:val="1"/>
        </w:rPr>
      </w:pPr>
      <w:bookmarkStart w:colFirst="0" w:colLast="0" w:name="_epbnki9vri6t" w:id="29"/>
      <w:bookmarkEnd w:id="29"/>
      <w:r w:rsidDel="00000000" w:rsidR="00000000" w:rsidRPr="00000000">
        <w:rPr>
          <w:i w:val="1"/>
          <w:rtl w:val="0"/>
        </w:rPr>
        <w:t xml:space="preserve">Cluster 3 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Clientes Recentes e Estratégicos </w:t>
      </w:r>
      <w:r w:rsidDel="00000000" w:rsidR="00000000" w:rsidRPr="00000000">
        <w:rPr>
          <w:sz w:val="22"/>
          <w:szCs w:val="22"/>
          <w:rtl w:val="0"/>
        </w:rPr>
        <w:t xml:space="preserve">(1689 clientes)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RFM: 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:</w:t>
      </w:r>
      <w:r w:rsidDel="00000000" w:rsidR="00000000" w:rsidRPr="00000000">
        <w:rPr>
          <w:sz w:val="24"/>
          <w:szCs w:val="24"/>
          <w:rtl w:val="0"/>
        </w:rPr>
        <w:t xml:space="preserve"> concentrada em valores mais baixos (175 e 225 dias), ou seja, clientes com interações relativamente recentes em comparação com outros clusters.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sz w:val="24"/>
          <w:szCs w:val="24"/>
          <w:rtl w:val="0"/>
        </w:rPr>
        <w:t xml:space="preserve">: Variando um pouco, entre 1 a 20 contratos feitos por cliente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M: </w:t>
      </w:r>
      <w:r w:rsidDel="00000000" w:rsidR="00000000" w:rsidRPr="00000000">
        <w:rPr>
          <w:sz w:val="24"/>
          <w:szCs w:val="24"/>
          <w:rtl w:val="0"/>
        </w:rPr>
        <w:t xml:space="preserve">constante em 0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 </w:t>
      </w:r>
      <w:r w:rsidDel="00000000" w:rsidR="00000000" w:rsidRPr="00000000">
        <w:rPr>
          <w:sz w:val="24"/>
          <w:szCs w:val="24"/>
          <w:rtl w:val="0"/>
        </w:rPr>
        <w:t xml:space="preserve">Há clientes de todas as faixas, destaque para: "Faixa 07 - De 75 M até 150 M", "Faixa 08 - De 150 M até 300 M"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Relacional:</w:t>
      </w:r>
      <w:r w:rsidDel="00000000" w:rsidR="00000000" w:rsidRPr="00000000">
        <w:rPr>
          <w:sz w:val="24"/>
          <w:szCs w:val="24"/>
          <w:rtl w:val="0"/>
        </w:rPr>
        <w:t xml:space="preserve"> Concentração em 0, mas muitas notas acima de 7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Transacional: </w:t>
      </w:r>
      <w:r w:rsidDel="00000000" w:rsidR="00000000" w:rsidRPr="00000000">
        <w:rPr>
          <w:sz w:val="24"/>
          <w:szCs w:val="24"/>
          <w:rtl w:val="0"/>
        </w:rPr>
        <w:t xml:space="preserve">Concentração em valores maiores que 8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Tickets: </w:t>
      </w:r>
      <w:r w:rsidDel="00000000" w:rsidR="00000000" w:rsidRPr="00000000">
        <w:rPr>
          <w:sz w:val="24"/>
          <w:szCs w:val="24"/>
          <w:rtl w:val="0"/>
        </w:rPr>
        <w:t xml:space="preserve">Concentrado em 0, poucos tickets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Segmentos: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Manufatura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Varejo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Subsegmentos: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Atacadista e Distribuidor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Bens de Consumo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Bens de Capital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indicadores de satisfação, o NPS Relacional apresenta notas acima de 7 em boa parte dos casos, enquanto o NPS Transacional é consistente em valores acima de 8.  O baixo volume de tickets sugere que a operação é mais estável ou menos demandante de suporte.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um cluster com alto potencial de expansão, reunindo clientes relevantes em porte e com boa percepção de valor</w:t>
      </w:r>
    </w:p>
    <w:p w:rsidR="00000000" w:rsidDel="00000000" w:rsidP="00000000" w:rsidRDefault="00000000" w:rsidRPr="00000000" w14:paraId="000000E8">
      <w:pPr>
        <w:pStyle w:val="Heading2"/>
        <w:rPr>
          <w:b w:val="1"/>
        </w:rPr>
      </w:pPr>
      <w:bookmarkStart w:colFirst="0" w:colLast="0" w:name="_cquqi2rkg5wg" w:id="30"/>
      <w:bookmarkEnd w:id="30"/>
      <w:r w:rsidDel="00000000" w:rsidR="00000000" w:rsidRPr="00000000">
        <w:rPr>
          <w:i w:val="1"/>
          <w:rtl w:val="0"/>
        </w:rPr>
        <w:t xml:space="preserve">Cluster 4  -  </w:t>
      </w:r>
      <w:r w:rsidDel="00000000" w:rsidR="00000000" w:rsidRPr="00000000">
        <w:rPr>
          <w:b w:val="1"/>
          <w:rtl w:val="0"/>
        </w:rPr>
        <w:t xml:space="preserve">Key Accounts </w:t>
      </w:r>
      <w:r w:rsidDel="00000000" w:rsidR="00000000" w:rsidRPr="00000000">
        <w:rPr>
          <w:sz w:val="22"/>
          <w:szCs w:val="22"/>
          <w:rtl w:val="0"/>
        </w:rPr>
        <w:t xml:space="preserve">(1785 clientes)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RFM: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 :</w:t>
      </w:r>
      <w:r w:rsidDel="00000000" w:rsidR="00000000" w:rsidRPr="00000000">
        <w:rPr>
          <w:sz w:val="24"/>
          <w:szCs w:val="24"/>
          <w:rtl w:val="0"/>
        </w:rPr>
        <w:t xml:space="preserve"> distribuição entre 150 e 550 dias, com maior concentração entre 200 e 300 dias, mostrando clientes que ainda têm interações relativamente recentes.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F:</w:t>
      </w:r>
      <w:r w:rsidDel="00000000" w:rsidR="00000000" w:rsidRPr="00000000">
        <w:rPr>
          <w:sz w:val="24"/>
          <w:szCs w:val="24"/>
          <w:rtl w:val="0"/>
        </w:rPr>
        <w:t xml:space="preserve"> constante em 1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M:</w:t>
      </w:r>
      <w:r w:rsidDel="00000000" w:rsidR="00000000" w:rsidRPr="00000000">
        <w:rPr>
          <w:sz w:val="24"/>
          <w:szCs w:val="24"/>
          <w:rtl w:val="0"/>
        </w:rPr>
        <w:t xml:space="preserve"> fortemente concentrado próximo de 0, mas com cauda longa até valores muito altos (acima de 8 bilhões)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NPS, Tickets e Faixa de Faturamento: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Faixa de Faturamento:</w:t>
      </w:r>
      <w:r w:rsidDel="00000000" w:rsidR="00000000" w:rsidRPr="00000000">
        <w:rPr>
          <w:sz w:val="24"/>
          <w:szCs w:val="24"/>
          <w:rtl w:val="0"/>
        </w:rPr>
        <w:t xml:space="preserve"> Forte concentração em faixas baixas, mas com representatividade em faixas elevadas, especialmente acima de 75M.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Relacional:</w:t>
      </w:r>
      <w:r w:rsidDel="00000000" w:rsidR="00000000" w:rsidRPr="00000000">
        <w:rPr>
          <w:sz w:val="24"/>
          <w:szCs w:val="24"/>
          <w:rtl w:val="0"/>
        </w:rPr>
        <w:t xml:space="preserve"> Bimodal, com concentração em 0 (clientes neutros/inativos na pesquisa) e notas altas, especialmente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acima de 8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NPS Transacional:</w:t>
      </w:r>
      <w:r w:rsidDel="00000000" w:rsidR="00000000" w:rsidRPr="00000000">
        <w:rPr>
          <w:sz w:val="24"/>
          <w:szCs w:val="24"/>
          <w:rtl w:val="0"/>
        </w:rPr>
        <w:t xml:space="preserve"> Comportamento similar, com destaque para notas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9 e 10</w:t>
      </w:r>
      <w:r w:rsidDel="00000000" w:rsidR="00000000" w:rsidRPr="00000000">
        <w:rPr>
          <w:sz w:val="24"/>
          <w:szCs w:val="24"/>
          <w:rtl w:val="0"/>
        </w:rPr>
        <w:t xml:space="preserve">, sinalizando boa experiência de uso.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Tickets:</w:t>
      </w:r>
      <w:r w:rsidDel="00000000" w:rsidR="00000000" w:rsidRPr="00000000">
        <w:rPr>
          <w:sz w:val="24"/>
          <w:szCs w:val="24"/>
          <w:rtl w:val="0"/>
        </w:rPr>
        <w:t xml:space="preserve"> Concentrados em valores baixos, mas com cauda longa que chega a mais de 1.500 tickets. 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Segmentos: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Varejo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Manufatura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 Subsegmentos: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Atacadista e Distribuidor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Provedor de Serviços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Hospedagem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Cluster 4 representa clientes ativos e heterogêneos, que vão desde empresas menores até grandes grupos com contratos bilionários.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cluster pode ser visto como um grupo de Clientes Ativos de Alto Valor, com potencial tanto de retenção (fidelizar clientes estratégicos) quanto de expansão (cross-sell e up-sell em clientes que já possuem alta relevância).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6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visualização dos clusters usando T-SNE para uma melhor visualização em 2D</w:t>
      </w:r>
    </w:p>
    <w:p w:rsidR="00000000" w:rsidDel="00000000" w:rsidP="00000000" w:rsidRDefault="00000000" w:rsidRPr="00000000" w14:paraId="0000010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jc w:val="both"/>
        <w:rPr/>
      </w:pPr>
      <w:bookmarkStart w:colFirst="0" w:colLast="0" w:name="_n116gs49pxkt" w:id="31"/>
      <w:bookmarkEnd w:id="31"/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Power 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jc w:val="center"/>
        <w:rPr/>
      </w:pPr>
      <w:bookmarkStart w:colFirst="0" w:colLast="0" w:name="_ofut81e6rjgj" w:id="32"/>
      <w:bookmarkEnd w:id="32"/>
      <w:r w:rsidDel="00000000" w:rsidR="00000000" w:rsidRPr="00000000">
        <w:rPr>
          <w:rtl w:val="0"/>
        </w:rPr>
        <w:t xml:space="preserve">Métricas e Avaliação</w:t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fyvb2fopbdrd" w:id="33"/>
      <w:bookmarkEnd w:id="33"/>
      <w:r w:rsidDel="00000000" w:rsidR="00000000" w:rsidRPr="00000000">
        <w:rPr>
          <w:rtl w:val="0"/>
        </w:rPr>
        <w:t xml:space="preserve">Distribuição dos Clusters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3705225" cy="3705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pie chart para visualizar a distribuição entre os clusters.</w:t>
      </w:r>
    </w:p>
    <w:p w:rsidR="00000000" w:rsidDel="00000000" w:rsidP="00000000" w:rsidRDefault="00000000" w:rsidRPr="00000000" w14:paraId="0000010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jc w:val="both"/>
        <w:rPr/>
      </w:pPr>
      <w:bookmarkStart w:colFirst="0" w:colLast="0" w:name="_fk4jy4tamfx4" w:id="34"/>
      <w:bookmarkEnd w:id="34"/>
      <w:r w:rsidDel="00000000" w:rsidR="00000000" w:rsidRPr="00000000">
        <w:rPr>
          <w:rtl w:val="0"/>
        </w:rPr>
        <w:t xml:space="preserve">Métricas de Avaliação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Score: 0,67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Indicando boa separação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Davies-Bouldin: 0,74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Indicando boa coesão entre os clusters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Calinski-Harabasz: 45.970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Indicando boa definição entre os clusters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Estabilidade (ARI bootstrap) 0,97 ± 0,016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indicando excelente reprodutibilidade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jc w:val="center"/>
        <w:rPr>
          <w:sz w:val="24"/>
          <w:szCs w:val="24"/>
        </w:rPr>
      </w:pPr>
      <w:bookmarkStart w:colFirst="0" w:colLast="0" w:name="_m98y8upn2t70" w:id="35"/>
      <w:bookmarkEnd w:id="35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segmentação realizada permitiu identificar perfis distintos de clientes da TOTVS, desde grupos inativos e de baixo engajamento até contas estratégicas e de alto valor. Enquanto os Clusters 0 e 1 representam clientes inativos ou com baixo relacionamento, os Clusters 2 e 3 destacam oportunidades de evolução e expansão em clientes mais recentes e engajados. Já o Cluster 4 reúne as key accounts, fundamentais para retenção e crescimento via cross-sell e up-sell. Assim, os resultados fornecem uma base sólida para direcionar ações específicas de reativação, retenção e expansão, maximizando valor. 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app.powerbi.com/view?r=eyJrIjoiOTk3Yzg2YTUtYWNmMS00MTIzLWEwMWMtYjgzOGFhZTJiYTQxIiwidCI6IjExZGJiZmUyLTg5YjgtNDU0OS1iZTEwLWNlYzM2NGU1OTU1MSIsImMiOjR9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