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hd w:fill="ffffff" w:val="clear"/>
        <w:ind w:left="1100" w:hanging="360"/>
      </w:pPr>
      <w:r w:rsidDel="00000000" w:rsidR="00000000" w:rsidRPr="00000000">
        <w:rPr>
          <w:color w:val="273540"/>
          <w:sz w:val="24"/>
          <w:szCs w:val="24"/>
          <w:rtl w:val="0"/>
        </w:rPr>
        <w:t xml:space="preserve">Introduction/Background to client/context</w:t>
      </w:r>
    </w:p>
    <w:p w:rsidR="00000000" w:rsidDel="00000000" w:rsidP="00000000" w:rsidRDefault="00000000" w:rsidRPr="00000000" w14:paraId="00000002">
      <w:pPr>
        <w:shd w:fill="ffffff" w:val="clear"/>
        <w:rPr>
          <w:color w:val="273540"/>
          <w:sz w:val="24"/>
          <w:szCs w:val="24"/>
        </w:rPr>
      </w:pPr>
      <w:r w:rsidDel="00000000" w:rsidR="00000000" w:rsidRPr="00000000">
        <w:rPr>
          <w:color w:val="273540"/>
          <w:sz w:val="24"/>
          <w:szCs w:val="24"/>
          <w:rtl w:val="0"/>
        </w:rPr>
        <w:t xml:space="preserve">With over $1 Trillion in assets, the Bank of Montreal is one of North America's oldest and largest financial institutions. Over the course of their 200 year history, they have been early adopters of emergent technology like online banking and AI. In 2025, BMO became the first Canadian bank to join the IBM Quantum Network which enables their research team to use cutting edge quantum processors produced by IBM. BMO announced the Institute for Applied Artificial Intelligence &amp; Quantum (SOURCE). BMO is prioritizing discovering where emerging technologies can provide a competitive advantage for their customers.</w:t>
      </w:r>
    </w:p>
    <w:p w:rsidR="00000000" w:rsidDel="00000000" w:rsidP="00000000" w:rsidRDefault="00000000" w:rsidRPr="00000000" w14:paraId="00000003">
      <w:pPr>
        <w:shd w:fill="ffffff" w:val="clear"/>
        <w:rPr>
          <w:color w:val="273540"/>
          <w:sz w:val="24"/>
          <w:szCs w:val="24"/>
        </w:rPr>
      </w:pPr>
      <w:r w:rsidDel="00000000" w:rsidR="00000000" w:rsidRPr="00000000">
        <w:rPr>
          <w:color w:val="273540"/>
          <w:sz w:val="24"/>
          <w:szCs w:val="24"/>
          <w:rtl w:val="0"/>
        </w:rPr>
        <w:tab/>
        <w:t xml:space="preserve">Quantum computing is a new framework for solving large data science problems that promises to revolutionize the financial world. This new type of computer leverages the quantum mechanical principals of entanglement and superposition to implement new algorithms that can solve certain problems exponentially faster than is possible today. Instead of classical computers which operate in bits of either ‘0’ or ‘1’, quantum computers leverage qubits which can simultaneously be ‘0’ and ‘1’ at the same time. </w:t>
      </w:r>
    </w:p>
    <w:p w:rsidR="00000000" w:rsidDel="00000000" w:rsidP="00000000" w:rsidRDefault="00000000" w:rsidRPr="00000000" w14:paraId="00000004">
      <w:pPr>
        <w:shd w:fill="ffffff" w:val="clear"/>
        <w:ind w:left="0" w:firstLine="0"/>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05">
      <w:pPr>
        <w:shd w:fill="ffffff" w:val="clear"/>
        <w:rPr>
          <w:color w:val="273540"/>
          <w:sz w:val="24"/>
          <w:szCs w:val="24"/>
        </w:rPr>
      </w:pPr>
      <w:r w:rsidDel="00000000" w:rsidR="00000000" w:rsidRPr="00000000">
        <w:rPr>
          <w:rtl w:val="0"/>
        </w:rPr>
      </w:r>
    </w:p>
    <w:p w:rsidR="00000000" w:rsidDel="00000000" w:rsidP="00000000" w:rsidRDefault="00000000" w:rsidRPr="00000000" w14:paraId="00000006">
      <w:pPr>
        <w:shd w:fill="ffffff" w:val="clear"/>
        <w:rPr>
          <w:color w:val="273540"/>
          <w:sz w:val="24"/>
          <w:szCs w:val="24"/>
        </w:rPr>
      </w:pPr>
      <w:r w:rsidDel="00000000" w:rsidR="00000000" w:rsidRPr="00000000">
        <w:rPr>
          <w:rtl w:val="0"/>
        </w:rPr>
      </w:r>
    </w:p>
    <w:p w:rsidR="00000000" w:rsidDel="00000000" w:rsidP="00000000" w:rsidRDefault="00000000" w:rsidRPr="00000000" w14:paraId="00000007">
      <w:pPr>
        <w:shd w:fill="ffffff" w:val="clear"/>
        <w:rPr>
          <w:color w:val="273540"/>
          <w:sz w:val="24"/>
          <w:szCs w:val="24"/>
        </w:rPr>
      </w:pPr>
      <w:r w:rsidDel="00000000" w:rsidR="00000000" w:rsidRPr="00000000">
        <w:rPr>
          <w:color w:val="273540"/>
          <w:sz w:val="24"/>
          <w:szCs w:val="24"/>
          <w:rtl w:val="0"/>
        </w:rPr>
        <w:t xml:space="preserve">Business Problem/Opportunity Statement</w:t>
      </w:r>
    </w:p>
    <w:p w:rsidR="00000000" w:rsidDel="00000000" w:rsidP="00000000" w:rsidRDefault="00000000" w:rsidRPr="00000000" w14:paraId="00000008">
      <w:pPr>
        <w:numPr>
          <w:ilvl w:val="0"/>
          <w:numId w:val="1"/>
        </w:numPr>
        <w:shd w:fill="ffffff" w:val="clear"/>
        <w:ind w:left="1100" w:hanging="360"/>
      </w:pPr>
      <w:r w:rsidDel="00000000" w:rsidR="00000000" w:rsidRPr="00000000">
        <w:rPr>
          <w:color w:val="273540"/>
          <w:sz w:val="24"/>
          <w:szCs w:val="24"/>
          <w:rtl w:val="0"/>
        </w:rPr>
        <w:t xml:space="preserve">Goals of Analysis (Revised)</w:t>
      </w:r>
    </w:p>
    <w:p w:rsidR="00000000" w:rsidDel="00000000" w:rsidP="00000000" w:rsidRDefault="00000000" w:rsidRPr="00000000" w14:paraId="00000009">
      <w:pPr>
        <w:numPr>
          <w:ilvl w:val="0"/>
          <w:numId w:val="1"/>
        </w:numPr>
        <w:shd w:fill="ffffff" w:val="clear"/>
        <w:ind w:left="1100" w:hanging="360"/>
      </w:pPr>
      <w:r w:rsidDel="00000000" w:rsidR="00000000" w:rsidRPr="00000000">
        <w:rPr>
          <w:color w:val="273540"/>
          <w:sz w:val="24"/>
          <w:szCs w:val="24"/>
          <w:rtl w:val="0"/>
        </w:rPr>
        <w:t xml:space="preserve">Literature review summary</w:t>
      </w:r>
    </w:p>
    <w:p w:rsidR="00000000" w:rsidDel="00000000" w:rsidP="00000000" w:rsidRDefault="00000000" w:rsidRPr="00000000" w14:paraId="0000000A">
      <w:pPr>
        <w:numPr>
          <w:ilvl w:val="0"/>
          <w:numId w:val="1"/>
        </w:numPr>
        <w:shd w:fill="ffffff" w:val="clear"/>
        <w:ind w:left="1100" w:hanging="360"/>
      </w:pPr>
      <w:r w:rsidDel="00000000" w:rsidR="00000000" w:rsidRPr="00000000">
        <w:rPr>
          <w:color w:val="273540"/>
          <w:sz w:val="24"/>
          <w:szCs w:val="24"/>
          <w:rtl w:val="0"/>
        </w:rPr>
        <w:t xml:space="preserve">Data and Sampling; Identify gaps in data required and data available data</w:t>
      </w:r>
    </w:p>
    <w:p w:rsidR="00000000" w:rsidDel="00000000" w:rsidP="00000000" w:rsidRDefault="00000000" w:rsidRPr="00000000" w14:paraId="0000000B">
      <w:pPr>
        <w:numPr>
          <w:ilvl w:val="0"/>
          <w:numId w:val="1"/>
        </w:numPr>
        <w:shd w:fill="ffffff" w:val="clear"/>
        <w:ind w:left="1100" w:hanging="360"/>
      </w:pPr>
      <w:r w:rsidDel="00000000" w:rsidR="00000000" w:rsidRPr="00000000">
        <w:rPr>
          <w:color w:val="273540"/>
          <w:sz w:val="24"/>
          <w:szCs w:val="24"/>
          <w:rtl w:val="0"/>
        </w:rPr>
        <w:t xml:space="preserve">Analytical Plan - Quantitative methodology including models and methods</w:t>
      </w:r>
    </w:p>
    <w:p w:rsidR="00000000" w:rsidDel="00000000" w:rsidP="00000000" w:rsidRDefault="00000000" w:rsidRPr="00000000" w14:paraId="0000000C">
      <w:pPr>
        <w:numPr>
          <w:ilvl w:val="0"/>
          <w:numId w:val="1"/>
        </w:numPr>
        <w:shd w:fill="ffffff" w:val="clear"/>
        <w:ind w:left="1100" w:hanging="360"/>
      </w:pPr>
      <w:r w:rsidDel="00000000" w:rsidR="00000000" w:rsidRPr="00000000">
        <w:rPr>
          <w:color w:val="273540"/>
          <w:sz w:val="24"/>
          <w:szCs w:val="24"/>
          <w:rtl w:val="0"/>
        </w:rPr>
        <w:t xml:space="preserve">Methodology for Model evaluation and validation</w:t>
      </w:r>
    </w:p>
    <w:p w:rsidR="00000000" w:rsidDel="00000000" w:rsidP="00000000" w:rsidRDefault="00000000" w:rsidRPr="00000000" w14:paraId="0000000D">
      <w:pPr>
        <w:numPr>
          <w:ilvl w:val="0"/>
          <w:numId w:val="1"/>
        </w:numPr>
        <w:shd w:fill="ffffff" w:val="clear"/>
        <w:ind w:left="1100" w:hanging="360"/>
      </w:pPr>
      <w:r w:rsidDel="00000000" w:rsidR="00000000" w:rsidRPr="00000000">
        <w:rPr>
          <w:color w:val="273540"/>
          <w:sz w:val="24"/>
          <w:szCs w:val="24"/>
          <w:rtl w:val="0"/>
        </w:rPr>
        <w:t xml:space="preserve">Expected Findings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hyperlink r:id="rId6">
        <w:r w:rsidDel="00000000" w:rsidR="00000000" w:rsidRPr="00000000">
          <w:rPr>
            <w:color w:val="1155cc"/>
            <w:u w:val="single"/>
            <w:rtl w:val="0"/>
          </w:rPr>
          <w:t xml:space="preserve">BMO Establishes Institute for Applied Artificial Intelligence &amp; Quantum - Apr 9, 2026</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ewsroom.bmo.com/2026-04-09-BMO-Establishes-Institute-for-Applied-Artificial-Intelligence-Quant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