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666666"/>
          <w:sz w:val="16"/>
        </w:rPr>
        <w:t>MEMORANDO A LA JUNTA DIRECTIVA · AMERICAN CABLE COMMUNICATIONS</w:t>
      </w:r>
    </w:p>
    <w:p>
      <w:pPr>
        <w:spacing w:after="80"/>
      </w:pPr>
      <w:r>
        <w:rPr>
          <w:b w:val="0"/>
          <w:color w:val="666666"/>
          <w:sz w:val="16"/>
        </w:rPr>
        <w:t>De: Desarrollo de Negocios (Grupo 3) · Diciembre de 2007 · Cifras en millones de US$</w:t>
      </w:r>
    </w:p>
    <w:p>
      <w:pPr>
        <w:spacing w:after="80"/>
      </w:pPr>
      <w:r>
        <w:rPr>
          <w:b/>
          <w:color w:val="1F3864"/>
          <w:sz w:val="34"/>
        </w:rPr>
        <w:t>Compra de AirThread: ofertar, pero no pagar más de US$7.391 millones</w:t>
      </w:r>
    </w:p>
    <w:tbl>
      <w:tblPr>
        <w:tblW w:type="auto" w:w="0"/>
        <w:jc w:val="center"/>
        <w:tblLook w:firstColumn="1" w:firstRow="1" w:lastColumn="0" w:lastRow="0" w:noHBand="0" w:noVBand="1" w:val="04A0"/>
      </w:tblPr>
      <w:tblGrid>
        <w:gridCol w:w="10200"/>
      </w:tblGrid>
      <w:tr>
        <w:tc>
          <w:tcPr>
            <w:tcW w:type="dxa" w:w="10200"/>
            <w:shd w:val="clear" w:color="auto" w:fill="E8EEF7"/>
            <w:tcBorders>
              <w:top w:val="single" w:sz="4" w:color="1F3864"/>
              <w:left w:val="single" w:sz="4" w:color="1F3864"/>
              <w:bottom w:val="single" w:sz="4" w:color="1F3864"/>
              <w:right w:val="single" w:sz="4" w:color="1F3864"/>
            </w:tcBorders>
          </w:tcPr>
          <w:p>
            <w:pPr>
              <w:spacing w:after="60" w:before="60"/>
            </w:pPr>
            <w:r>
              <w:rPr>
                <w:b/>
                <w:sz w:val="21"/>
              </w:rPr>
              <w:t xml:space="preserve">Recomendación: </w:t>
            </w:r>
            <w:r>
              <w:rPr>
                <w:b w:val="0"/>
                <w:sz w:val="21"/>
              </w:rPr>
              <w:t>presentar una oferta por el 100% de AirThread Connections (ATC). Abrir en US$5.979 millones, buscar cerrar en US$7.017 millones y retirarse si el precio supera US$7.391 millones. Ese tope paga lo que ATC vale por sí sola más el ahorro de backhaul que solo ACC puede generar con su fibra; no paga por adelantado las sinergias de ingresos, que son inciertas.</w:t>
            </w:r>
          </w:p>
        </w:tc>
      </w:tr>
    </w:tbl>
    <w:p>
      <w:pPr>
        <w:spacing w:after="0"/>
      </w:pPr>
    </w:p>
    <w:p>
      <w:pPr>
        <w:keepNext/>
        <w:spacing w:after="30" w:before="200"/>
        <w:pBdr>
          <w:bottom w:val="single" w:sz="6" w:color="1F3864"/>
        </w:pBdr>
      </w:pPr>
      <w:r>
        <w:rPr>
          <w:b/>
          <w:color w:val="1F3864"/>
          <w:sz w:val="25"/>
        </w:rPr>
        <w:t>1. El problema: cuánto pagar sin destruir valor</w:t>
      </w:r>
    </w:p>
    <w:p>
      <w:pPr>
        <w:spacing w:after="80"/>
      </w:pPr>
      <w:r>
        <w:rPr>
          <w:b w:val="0"/>
          <w:sz w:val="21"/>
        </w:rPr>
        <w:t>ACC necesita una oferta inalámbrica para competir con los operadores que venden paquetes. ATC le da esa oferta, pero el mayor riesgo de la operación es pagar de más. Los hechos que importan:</w:t>
      </w:r>
    </w:p>
    <w:p>
      <w:pPr>
        <w:pStyle w:val="ListBullet"/>
        <w:spacing w:after="60"/>
        <w:ind w:left="340"/>
      </w:pPr>
      <w:r>
        <w:rPr>
          <w:b/>
          <w:sz w:val="21"/>
        </w:rPr>
        <w:t xml:space="preserve">ATC es rentable, pero está en desventaja. </w:t>
      </w:r>
      <w:r>
        <w:rPr>
          <w:b w:val="0"/>
          <w:sz w:val="21"/>
        </w:rPr>
        <w:t>Su margen EBITDA es 26,2%, frente a 31,6% de sus rivales. En 2007 su ingreso por minuto cayó 11,3% y el costo de captar un cliente subió 26,5%.</w:t>
      </w:r>
    </w:p>
    <w:p>
      <w:pPr>
        <w:pStyle w:val="ListBullet"/>
        <w:spacing w:after="60"/>
        <w:ind w:left="340"/>
      </w:pPr>
      <w:r>
        <w:rPr>
          <w:b/>
          <w:sz w:val="21"/>
        </w:rPr>
        <w:t xml:space="preserve">Por sí sola vale US$6.643 millones </w:t>
      </w:r>
      <w:r>
        <w:rPr>
          <w:b w:val="0"/>
          <w:sz w:val="21"/>
        </w:rPr>
        <w:t>(patrimonio, 5,8 veces su EBITDA de 2007). Es un flujo de caja descontado con WACC de 7,60% y crecimiento perpetuo de 2,78%; el 79% del valor está después de 2012.</w:t>
      </w:r>
    </w:p>
    <w:p>
      <w:pPr>
        <w:pStyle w:val="ListBullet"/>
        <w:spacing w:after="60"/>
        <w:ind w:left="340"/>
      </w:pPr>
      <w:r>
        <w:rPr>
          <w:b/>
          <w:sz w:val="21"/>
        </w:rPr>
        <w:t xml:space="preserve">Con ACC vale US$2.524 millones más. </w:t>
      </w:r>
      <w:r>
        <w:rPr>
          <w:b w:val="0"/>
          <w:sz w:val="21"/>
        </w:rPr>
        <w:t>US$748 millones salen del backhaul (usar la fibra de ACC ahorra US$76 millones al año en 2012) y US$1.776 millones de clientes empresariales: el 70% de las sinergias, sin un margen documentado.</w:t>
      </w:r>
    </w:p>
    <w:p>
      <w:pPr>
        <w:pStyle w:val="ListBullet"/>
        <w:spacing w:after="60"/>
        <w:ind w:left="340"/>
      </w:pPr>
      <w:r>
        <w:rPr>
          <w:b/>
          <w:sz w:val="21"/>
        </w:rPr>
        <w:t xml:space="preserve">El mercado sugiere precios mucho mayores. </w:t>
      </w:r>
      <w:r>
        <w:rPr>
          <w:b w:val="0"/>
          <w:sz w:val="21"/>
        </w:rPr>
        <w:t>Con el múltiplo mediano de los comparables (10,3 veces el EBITDA), ATC valdría US$13.950 millones, pero eso exige que crezca 6,6% al año para siempre.</w:t>
      </w:r>
    </w:p>
    <w:p>
      <w:pPr>
        <w:pStyle w:val="ListBullet"/>
        <w:spacing w:after="60"/>
        <w:ind w:left="340"/>
      </w:pPr>
      <w:r>
        <w:rPr>
          <w:b/>
          <w:sz w:val="21"/>
        </w:rPr>
        <w:t xml:space="preserve">La deuda propuesta por el banco es alta. </w:t>
      </w:r>
      <w:r>
        <w:rPr>
          <w:b w:val="0"/>
          <w:sz w:val="21"/>
        </w:rPr>
        <w:t>US$3.758 millones equivalen al 62,7% del valor de las operaciones (límite: 50%), y el flujo de ATC no alcanza para las cuotas: en 2011 ya necesita US$430 millones de línea de crédito.</w:t>
      </w:r>
    </w:p>
    <w:tbl>
      <w:tblPr>
        <w:tblW w:type="auto" w:w="0"/>
        <w:jc w:val="center"/>
        <w:tblLook w:firstColumn="1" w:firstRow="1" w:lastColumn="0" w:lastRow="0" w:noHBand="0" w:noVBand="1" w:val="04A0"/>
      </w:tblPr>
      <w:tblGrid>
        <w:gridCol w:w="5100"/>
        <w:gridCol w:w="5100"/>
      </w:tblGrid>
      <w:tr>
        <w:tc>
          <w:tcPr>
            <w:tcW w:type="dxa" w:w="5386"/>
            <w:shd w:val="clear" w:color="auto" w:fill="1F3864"/>
          </w:tcPr>
          <w:p>
            <w:r>
              <w:rPr>
                <w:b/>
                <w:color w:val="FFFFFF"/>
                <w:sz w:val="19"/>
              </w:rPr>
              <w:t>Cómo se llega al valor</w:t>
            </w:r>
          </w:p>
        </w:tc>
        <w:tc>
          <w:tcPr>
            <w:tcW w:type="dxa" w:w="1587"/>
            <w:shd w:val="clear" w:color="auto" w:fill="1F3864"/>
          </w:tcPr>
          <w:p>
            <w:pPr>
              <w:jc w:val="right"/>
            </w:pPr>
            <w:r>
              <w:rPr>
                <w:b/>
                <w:color w:val="FFFFFF"/>
                <w:sz w:val="19"/>
              </w:rPr>
              <w:t>US$ millones</w:t>
            </w:r>
          </w:p>
        </w:tc>
      </w:tr>
      <w:tr>
        <w:tc>
          <w:tcPr>
            <w:tcW w:type="dxa" w:w="5386"/>
            <w:tcBorders>
              <w:top w:val="single" w:sz="4" w:color="BFC9DC"/>
              <w:left w:val="single" w:sz="4" w:color="BFC9DC"/>
              <w:bottom w:val="single" w:sz="4" w:color="BFC9DC"/>
              <w:right w:val="single" w:sz="4" w:color="BFC9DC"/>
            </w:tcBorders>
            <w:tcMar>
              <w:left w:w="68" w:type="dxa"/>
              <w:right w:w="68" w:type="dxa"/>
            </w:tcMar>
          </w:tcPr>
          <w:p>
            <w:pPr>
              <w:spacing w:after="0"/>
            </w:pPr>
            <w:r>
              <w:rPr>
                <w:b w:val="0"/>
                <w:sz w:val="19"/>
              </w:rPr>
              <w:t>Valor de las operaciones (flujo de caja descontado)</w:t>
            </w:r>
          </w:p>
        </w:tc>
        <w:tc>
          <w:tcPr>
            <w:tcW w:type="dxa" w:w="1587"/>
            <w:tcBorders>
              <w:top w:val="single" w:sz="4" w:color="BFC9DC"/>
              <w:left w:val="single" w:sz="4" w:color="BFC9DC"/>
              <w:bottom w:val="single" w:sz="4" w:color="BFC9DC"/>
              <w:right w:val="single" w:sz="4" w:color="BFC9DC"/>
            </w:tcBorders>
            <w:tcMar>
              <w:left w:w="68" w:type="dxa"/>
              <w:right w:w="68" w:type="dxa"/>
            </w:tcMar>
          </w:tcPr>
          <w:p>
            <w:pPr>
              <w:spacing w:after="0"/>
              <w:jc w:val="right"/>
            </w:pPr>
            <w:r>
              <w:rPr>
                <w:b w:val="0"/>
                <w:sz w:val="19"/>
              </w:rPr>
              <w:t>5.989</w:t>
            </w:r>
          </w:p>
        </w:tc>
      </w:tr>
      <w:tr>
        <w:tc>
          <w:tcPr>
            <w:tcW w:type="dxa" w:w="5386"/>
            <w:tcBorders>
              <w:top w:val="single" w:sz="4" w:color="BFC9DC"/>
              <w:left w:val="single" w:sz="4" w:color="BFC9DC"/>
              <w:bottom w:val="single" w:sz="4" w:color="BFC9DC"/>
              <w:right w:val="single" w:sz="4" w:color="BFC9DC"/>
            </w:tcBorders>
            <w:tcMar>
              <w:left w:w="68" w:type="dxa"/>
              <w:right w:w="68" w:type="dxa"/>
            </w:tcMar>
          </w:tcPr>
          <w:p>
            <w:pPr>
              <w:spacing w:after="0"/>
            </w:pPr>
            <w:r>
              <w:rPr>
                <w:b w:val="0"/>
                <w:sz w:val="19"/>
              </w:rPr>
              <w:t>+ Caja, afiliadas y nota por cobrar</w:t>
            </w:r>
          </w:p>
        </w:tc>
        <w:tc>
          <w:tcPr>
            <w:tcW w:type="dxa" w:w="1587"/>
            <w:tcBorders>
              <w:top w:val="single" w:sz="4" w:color="BFC9DC"/>
              <w:left w:val="single" w:sz="4" w:color="BFC9DC"/>
              <w:bottom w:val="single" w:sz="4" w:color="BFC9DC"/>
              <w:right w:val="single" w:sz="4" w:color="BFC9DC"/>
            </w:tcBorders>
            <w:tcMar>
              <w:left w:w="68" w:type="dxa"/>
              <w:right w:w="68" w:type="dxa"/>
            </w:tcMar>
          </w:tcPr>
          <w:p>
            <w:pPr>
              <w:spacing w:after="0"/>
              <w:jc w:val="right"/>
            </w:pPr>
            <w:r>
              <w:rPr>
                <w:b w:val="0"/>
                <w:sz w:val="19"/>
              </w:rPr>
              <w:t>1.944</w:t>
            </w:r>
          </w:p>
        </w:tc>
      </w:tr>
      <w:tr>
        <w:tc>
          <w:tcPr>
            <w:tcW w:type="dxa" w:w="5386"/>
            <w:tcBorders>
              <w:top w:val="single" w:sz="4" w:color="BFC9DC"/>
              <w:left w:val="single" w:sz="4" w:color="BFC9DC"/>
              <w:bottom w:val="single" w:sz="4" w:color="BFC9DC"/>
              <w:right w:val="single" w:sz="4" w:color="BFC9DC"/>
            </w:tcBorders>
            <w:tcMar>
              <w:left w:w="68" w:type="dxa"/>
              <w:right w:w="68" w:type="dxa"/>
            </w:tcMar>
          </w:tcPr>
          <w:p>
            <w:pPr>
              <w:spacing w:after="0"/>
            </w:pPr>
            <w:r>
              <w:rPr>
                <w:b w:val="0"/>
                <w:sz w:val="19"/>
              </w:rPr>
              <w:t>− Deuda existente e interés minoritario</w:t>
            </w:r>
          </w:p>
        </w:tc>
        <w:tc>
          <w:tcPr>
            <w:tcW w:type="dxa" w:w="1587"/>
            <w:tcBorders>
              <w:top w:val="single" w:sz="4" w:color="BFC9DC"/>
              <w:left w:val="single" w:sz="4" w:color="BFC9DC"/>
              <w:bottom w:val="single" w:sz="4" w:color="BFC9DC"/>
              <w:right w:val="single" w:sz="4" w:color="BFC9DC"/>
            </w:tcBorders>
            <w:tcMar>
              <w:left w:w="68" w:type="dxa"/>
              <w:right w:w="68" w:type="dxa"/>
            </w:tcMar>
          </w:tcPr>
          <w:p>
            <w:pPr>
              <w:spacing w:after="0"/>
              <w:jc w:val="right"/>
            </w:pPr>
            <w:r>
              <w:rPr>
                <w:b w:val="0"/>
                <w:sz w:val="19"/>
              </w:rPr>
              <w:t>−1.290</w:t>
            </w:r>
          </w:p>
        </w:tc>
      </w:tr>
      <w:tr>
        <w:tc>
          <w:tcPr>
            <w:tcW w:type="dxa" w:w="5386"/>
            <w:tcBorders>
              <w:top w:val="single" w:sz="4" w:color="BFC9DC"/>
              <w:left w:val="single" w:sz="4" w:color="BFC9DC"/>
              <w:bottom w:val="single" w:sz="4" w:color="BFC9DC"/>
              <w:right w:val="single" w:sz="4" w:color="BFC9DC"/>
            </w:tcBorders>
            <w:tcMar>
              <w:left w:w="68" w:type="dxa"/>
              <w:right w:w="68" w:type="dxa"/>
            </w:tcMar>
            <w:shd w:val="clear" w:color="auto" w:fill="E8EEF7"/>
          </w:tcPr>
          <w:p>
            <w:pPr>
              <w:spacing w:after="0"/>
            </w:pPr>
            <w:r>
              <w:rPr>
                <w:b/>
                <w:sz w:val="19"/>
              </w:rPr>
              <w:t>Valor del patrimonio de ATC por sí sola</w:t>
            </w:r>
          </w:p>
        </w:tc>
        <w:tc>
          <w:tcPr>
            <w:tcW w:type="dxa" w:w="1587"/>
            <w:tcBorders>
              <w:top w:val="single" w:sz="4" w:color="BFC9DC"/>
              <w:left w:val="single" w:sz="4" w:color="BFC9DC"/>
              <w:bottom w:val="single" w:sz="4" w:color="BFC9DC"/>
              <w:right w:val="single" w:sz="4" w:color="BFC9DC"/>
            </w:tcBorders>
            <w:tcMar>
              <w:left w:w="68" w:type="dxa"/>
              <w:right w:w="68" w:type="dxa"/>
            </w:tcMar>
            <w:shd w:val="clear" w:color="auto" w:fill="E8EEF7"/>
          </w:tcPr>
          <w:p>
            <w:pPr>
              <w:spacing w:after="0"/>
              <w:jc w:val="right"/>
            </w:pPr>
            <w:r>
              <w:rPr>
                <w:b/>
                <w:sz w:val="19"/>
              </w:rPr>
              <w:t>6.643</w:t>
            </w:r>
          </w:p>
        </w:tc>
      </w:tr>
      <w:tr>
        <w:tc>
          <w:tcPr>
            <w:tcW w:type="dxa" w:w="5386"/>
            <w:tcBorders>
              <w:top w:val="single" w:sz="4" w:color="BFC9DC"/>
              <w:left w:val="single" w:sz="4" w:color="BFC9DC"/>
              <w:bottom w:val="single" w:sz="4" w:color="BFC9DC"/>
              <w:right w:val="single" w:sz="4" w:color="BFC9DC"/>
            </w:tcBorders>
            <w:tcMar>
              <w:left w:w="68" w:type="dxa"/>
              <w:right w:w="68" w:type="dxa"/>
            </w:tcMar>
          </w:tcPr>
          <w:p>
            <w:pPr>
              <w:spacing w:after="0"/>
            </w:pPr>
            <w:r>
              <w:rPr>
                <w:b w:val="0"/>
                <w:sz w:val="19"/>
              </w:rPr>
              <w:t>+ Sinergias de backhaul</w:t>
            </w:r>
          </w:p>
        </w:tc>
        <w:tc>
          <w:tcPr>
            <w:tcW w:type="dxa" w:w="1587"/>
            <w:tcBorders>
              <w:top w:val="single" w:sz="4" w:color="BFC9DC"/>
              <w:left w:val="single" w:sz="4" w:color="BFC9DC"/>
              <w:bottom w:val="single" w:sz="4" w:color="BFC9DC"/>
              <w:right w:val="single" w:sz="4" w:color="BFC9DC"/>
            </w:tcBorders>
            <w:tcMar>
              <w:left w:w="68" w:type="dxa"/>
              <w:right w:w="68" w:type="dxa"/>
            </w:tcMar>
          </w:tcPr>
          <w:p>
            <w:pPr>
              <w:spacing w:after="0"/>
              <w:jc w:val="right"/>
            </w:pPr>
            <w:r>
              <w:rPr>
                <w:b w:val="0"/>
                <w:sz w:val="19"/>
              </w:rPr>
              <w:t>748</w:t>
            </w:r>
          </w:p>
        </w:tc>
      </w:tr>
      <w:tr>
        <w:tc>
          <w:tcPr>
            <w:tcW w:type="dxa" w:w="5386"/>
            <w:tcBorders>
              <w:top w:val="single" w:sz="4" w:color="BFC9DC"/>
              <w:left w:val="single" w:sz="4" w:color="BFC9DC"/>
              <w:bottom w:val="single" w:sz="4" w:color="BFC9DC"/>
              <w:right w:val="single" w:sz="4" w:color="BFC9DC"/>
            </w:tcBorders>
            <w:tcMar>
              <w:left w:w="68" w:type="dxa"/>
              <w:right w:w="68" w:type="dxa"/>
            </w:tcMar>
          </w:tcPr>
          <w:p>
            <w:pPr>
              <w:spacing w:after="0"/>
            </w:pPr>
            <w:r>
              <w:rPr>
                <w:b w:val="0"/>
                <w:sz w:val="19"/>
              </w:rPr>
              <w:t>+ Sinergias de clientes empresariales</w:t>
            </w:r>
          </w:p>
        </w:tc>
        <w:tc>
          <w:tcPr>
            <w:tcW w:type="dxa" w:w="1587"/>
            <w:tcBorders>
              <w:top w:val="single" w:sz="4" w:color="BFC9DC"/>
              <w:left w:val="single" w:sz="4" w:color="BFC9DC"/>
              <w:bottom w:val="single" w:sz="4" w:color="BFC9DC"/>
              <w:right w:val="single" w:sz="4" w:color="BFC9DC"/>
            </w:tcBorders>
            <w:tcMar>
              <w:left w:w="68" w:type="dxa"/>
              <w:right w:w="68" w:type="dxa"/>
            </w:tcMar>
          </w:tcPr>
          <w:p>
            <w:pPr>
              <w:spacing w:after="0"/>
              <w:jc w:val="right"/>
            </w:pPr>
            <w:r>
              <w:rPr>
                <w:b w:val="0"/>
                <w:sz w:val="19"/>
              </w:rPr>
              <w:t>1.776</w:t>
            </w:r>
          </w:p>
        </w:tc>
      </w:tr>
      <w:tr>
        <w:tc>
          <w:tcPr>
            <w:tcW w:type="dxa" w:w="5386"/>
            <w:tcBorders>
              <w:top w:val="single" w:sz="4" w:color="BFC9DC"/>
              <w:left w:val="single" w:sz="4" w:color="BFC9DC"/>
              <w:bottom w:val="single" w:sz="4" w:color="BFC9DC"/>
              <w:right w:val="single" w:sz="4" w:color="BFC9DC"/>
            </w:tcBorders>
            <w:tcMar>
              <w:left w:w="68" w:type="dxa"/>
              <w:right w:w="68" w:type="dxa"/>
            </w:tcMar>
            <w:shd w:val="clear" w:color="auto" w:fill="E8EEF7"/>
          </w:tcPr>
          <w:p>
            <w:pPr>
              <w:spacing w:after="0"/>
            </w:pPr>
            <w:r>
              <w:rPr>
                <w:b/>
                <w:sz w:val="19"/>
              </w:rPr>
              <w:t>Valor del patrimonio con todas las sinergias</w:t>
            </w:r>
          </w:p>
        </w:tc>
        <w:tc>
          <w:tcPr>
            <w:tcW w:type="dxa" w:w="1587"/>
            <w:tcBorders>
              <w:top w:val="single" w:sz="4" w:color="BFC9DC"/>
              <w:left w:val="single" w:sz="4" w:color="BFC9DC"/>
              <w:bottom w:val="single" w:sz="4" w:color="BFC9DC"/>
              <w:right w:val="single" w:sz="4" w:color="BFC9DC"/>
            </w:tcBorders>
            <w:tcMar>
              <w:left w:w="68" w:type="dxa"/>
              <w:right w:w="68" w:type="dxa"/>
            </w:tcMar>
            <w:shd w:val="clear" w:color="auto" w:fill="E8EEF7"/>
          </w:tcPr>
          <w:p>
            <w:pPr>
              <w:spacing w:after="0"/>
              <w:jc w:val="right"/>
            </w:pPr>
            <w:r>
              <w:rPr>
                <w:b/>
                <w:sz w:val="19"/>
              </w:rPr>
              <w:t>9.168</w:t>
            </w:r>
          </w:p>
        </w:tc>
      </w:tr>
    </w:tbl>
    <w:p>
      <w:pPr>
        <w:spacing w:after="0"/>
      </w:pPr>
      <w:r>
        <w:br w:type="page"/>
      </w:r>
    </w:p>
    <w:p>
      <w:pPr>
        <w:keepNext/>
        <w:spacing w:after="30" w:before="200"/>
        <w:pBdr>
          <w:bottom w:val="single" w:sz="6" w:color="1F3864"/>
        </w:pBdr>
      </w:pPr>
      <w:r>
        <w:rPr>
          <w:b/>
          <w:color w:val="1F3864"/>
          <w:sz w:val="25"/>
        </w:rPr>
        <w:t>2. Alternativas</w:t>
      </w:r>
    </w:p>
    <w:tbl>
      <w:tblPr>
        <w:tblW w:type="auto" w:w="0"/>
        <w:jc w:val="center"/>
        <w:tblLook w:firstColumn="1" w:firstRow="1" w:lastColumn="0" w:lastRow="0" w:noHBand="0" w:noVBand="1" w:val="04A0"/>
      </w:tblPr>
      <w:tblGrid>
        <w:gridCol w:w="2040"/>
        <w:gridCol w:w="2040"/>
        <w:gridCol w:w="2040"/>
        <w:gridCol w:w="2040"/>
        <w:gridCol w:w="2040"/>
      </w:tblGrid>
      <w:tr>
        <w:tc>
          <w:tcPr>
            <w:tcW w:type="dxa" w:w="1474"/>
            <w:shd w:val="clear" w:color="auto" w:fill="1F3864"/>
            <w:tcMar>
              <w:left w:w="68" w:type="dxa"/>
              <w:right w:w="68" w:type="dxa"/>
            </w:tcMar>
          </w:tcPr>
          <w:p>
            <w:pPr>
              <w:spacing w:after="0"/>
            </w:pPr>
            <w:r>
              <w:rPr>
                <w:b/>
                <w:color w:val="FFFFFF"/>
                <w:sz w:val="18"/>
              </w:rPr>
            </w:r>
          </w:p>
        </w:tc>
        <w:tc>
          <w:tcPr>
            <w:tcW w:type="dxa" w:w="1928"/>
            <w:shd w:val="clear" w:color="auto" w:fill="1F3864"/>
            <w:tcMar>
              <w:left w:w="68" w:type="dxa"/>
              <w:right w:w="68" w:type="dxa"/>
            </w:tcMar>
          </w:tcPr>
          <w:p>
            <w:pPr>
              <w:spacing w:after="0"/>
            </w:pPr>
            <w:r>
              <w:rPr>
                <w:b/>
                <w:color w:val="FFFFFF"/>
                <w:sz w:val="18"/>
              </w:rPr>
              <w:t>A. Pagar solo el valor de ATC</w:t>
            </w:r>
          </w:p>
        </w:tc>
        <w:tc>
          <w:tcPr>
            <w:tcW w:type="dxa" w:w="2098"/>
            <w:shd w:val="clear" w:color="auto" w:fill="2E7D32"/>
            <w:tcMar>
              <w:left w:w="68" w:type="dxa"/>
              <w:right w:w="68" w:type="dxa"/>
            </w:tcMar>
          </w:tcPr>
          <w:p>
            <w:pPr>
              <w:spacing w:after="0"/>
            </w:pPr>
            <w:r>
              <w:rPr>
                <w:b/>
                <w:color w:val="FFFFFF"/>
                <w:sz w:val="18"/>
              </w:rPr>
              <w:t>B. Compartir solo el backhaul (recomendada)</w:t>
            </w:r>
          </w:p>
        </w:tc>
        <w:tc>
          <w:tcPr>
            <w:tcW w:type="dxa" w:w="1928"/>
            <w:shd w:val="clear" w:color="auto" w:fill="1F3864"/>
            <w:tcMar>
              <w:left w:w="68" w:type="dxa"/>
              <w:right w:w="68" w:type="dxa"/>
            </w:tcMar>
          </w:tcPr>
          <w:p>
            <w:pPr>
              <w:spacing w:after="0"/>
            </w:pPr>
            <w:r>
              <w:rPr>
                <w:b/>
                <w:color w:val="FFFFFF"/>
                <w:sz w:val="18"/>
              </w:rPr>
              <w:t>C. Pagar todas las sinergias</w:t>
            </w:r>
          </w:p>
        </w:tc>
        <w:tc>
          <w:tcPr>
            <w:tcW w:type="dxa" w:w="1928"/>
            <w:shd w:val="clear" w:color="auto" w:fill="1F3864"/>
            <w:tcMar>
              <w:left w:w="68" w:type="dxa"/>
              <w:right w:w="68" w:type="dxa"/>
            </w:tcMar>
          </w:tcPr>
          <w:p>
            <w:pPr>
              <w:spacing w:after="0"/>
            </w:pPr>
            <w:r>
              <w:rPr>
                <w:b/>
                <w:color w:val="FFFFFF"/>
                <w:sz w:val="18"/>
              </w:rPr>
              <w:t>D. No comprar: acuerdo de backhaul</w:t>
            </w:r>
          </w:p>
        </w:tc>
      </w:tr>
      <w:tr>
        <w:tc>
          <w:tcPr>
            <w:tcW w:type="dxa" w:w="1474"/>
            <w:tcBorders>
              <w:top w:val="single" w:sz="4" w:color="BFC9DC"/>
              <w:left w:val="single" w:sz="4" w:color="BFC9DC"/>
              <w:bottom w:val="single" w:sz="4" w:color="BFC9DC"/>
              <w:right w:val="single" w:sz="4" w:color="BFC9DC"/>
            </w:tcBorders>
            <w:tcMar>
              <w:left w:w="68" w:type="dxa"/>
              <w:right w:w="68" w:type="dxa"/>
            </w:tcMar>
            <w:shd w:val="clear" w:color="auto" w:fill="F2F2F2"/>
          </w:tcPr>
          <w:p>
            <w:pPr>
              <w:spacing w:after="0" w:line="240" w:lineRule="auto"/>
            </w:pPr>
            <w:r>
              <w:rPr>
                <w:b/>
                <w:sz w:val="18"/>
              </w:rPr>
              <w:t>Precio</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Hasta 6.643</w:t>
            </w:r>
          </w:p>
        </w:tc>
        <w:tc>
          <w:tcPr>
            <w:tcW w:type="dxa" w:w="2098"/>
            <w:tcBorders>
              <w:top w:val="single" w:sz="4" w:color="BFC9DC"/>
              <w:left w:val="single" w:sz="4" w:color="BFC9DC"/>
              <w:bottom w:val="single" w:sz="4" w:color="BFC9DC"/>
              <w:right w:val="single" w:sz="4" w:color="BFC9DC"/>
            </w:tcBorders>
            <w:tcMar>
              <w:left w:w="68" w:type="dxa"/>
              <w:right w:w="68" w:type="dxa"/>
            </w:tcMar>
            <w:shd w:val="clear" w:color="auto" w:fill="EAF4EA"/>
          </w:tcPr>
          <w:p>
            <w:pPr>
              <w:spacing w:after="0" w:line="240" w:lineRule="auto"/>
            </w:pPr>
            <w:r>
              <w:rPr>
                <w:b w:val="0"/>
                <w:sz w:val="18"/>
              </w:rPr>
              <w:t>5.979 a 7.391</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Hasta 9.168</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Sin compra</w:t>
            </w:r>
          </w:p>
        </w:tc>
      </w:tr>
      <w:tr>
        <w:tc>
          <w:tcPr>
            <w:tcW w:type="dxa" w:w="1474"/>
            <w:tcBorders>
              <w:top w:val="single" w:sz="4" w:color="BFC9DC"/>
              <w:left w:val="single" w:sz="4" w:color="BFC9DC"/>
              <w:bottom w:val="single" w:sz="4" w:color="BFC9DC"/>
              <w:right w:val="single" w:sz="4" w:color="BFC9DC"/>
            </w:tcBorders>
            <w:tcMar>
              <w:left w:w="68" w:type="dxa"/>
              <w:right w:w="68" w:type="dxa"/>
            </w:tcMar>
            <w:shd w:val="clear" w:color="auto" w:fill="F2F2F2"/>
          </w:tcPr>
          <w:p>
            <w:pPr>
              <w:spacing w:after="0" w:line="240" w:lineRule="auto"/>
            </w:pPr>
            <w:r>
              <w:rPr>
                <w:b/>
                <w:sz w:val="18"/>
              </w:rPr>
              <w:t>Valor que conserva ACC</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Todas las sinergias (2.524)</w:t>
            </w:r>
          </w:p>
        </w:tc>
        <w:tc>
          <w:tcPr>
            <w:tcW w:type="dxa" w:w="2098"/>
            <w:tcBorders>
              <w:top w:val="single" w:sz="4" w:color="BFC9DC"/>
              <w:left w:val="single" w:sz="4" w:color="BFC9DC"/>
              <w:bottom w:val="single" w:sz="4" w:color="BFC9DC"/>
              <w:right w:val="single" w:sz="4" w:color="BFC9DC"/>
            </w:tcBorders>
            <w:tcMar>
              <w:left w:w="68" w:type="dxa"/>
              <w:right w:w="68" w:type="dxa"/>
            </w:tcMar>
            <w:shd w:val="clear" w:color="auto" w:fill="EAF4EA"/>
          </w:tcPr>
          <w:p>
            <w:pPr>
              <w:spacing w:after="0" w:line="240" w:lineRule="auto"/>
            </w:pPr>
            <w:r>
              <w:rPr>
                <w:b w:val="0"/>
                <w:sz w:val="18"/>
              </w:rPr>
              <w:t>Al menos las de ingresos (1.776)</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Ninguno</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Parte del ahorro de backhaul (76 al año en 2012)</w:t>
            </w:r>
          </w:p>
        </w:tc>
      </w:tr>
      <w:tr>
        <w:tc>
          <w:tcPr>
            <w:tcW w:type="dxa" w:w="1474"/>
            <w:tcBorders>
              <w:top w:val="single" w:sz="4" w:color="BFC9DC"/>
              <w:left w:val="single" w:sz="4" w:color="BFC9DC"/>
              <w:bottom w:val="single" w:sz="4" w:color="BFC9DC"/>
              <w:right w:val="single" w:sz="4" w:color="BFC9DC"/>
            </w:tcBorders>
            <w:tcMar>
              <w:left w:w="68" w:type="dxa"/>
              <w:right w:w="68" w:type="dxa"/>
            </w:tcMar>
            <w:shd w:val="clear" w:color="auto" w:fill="F2F2F2"/>
          </w:tcPr>
          <w:p>
            <w:pPr>
              <w:spacing w:after="0" w:line="240" w:lineRule="auto"/>
            </w:pPr>
            <w:r>
              <w:rPr>
                <w:b/>
                <w:sz w:val="18"/>
              </w:rPr>
              <w:t>Implicaciones</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El vendedor, anclado en múltiplos de mercado, probablemente no la acepte.</w:t>
            </w:r>
          </w:p>
        </w:tc>
        <w:tc>
          <w:tcPr>
            <w:tcW w:type="dxa" w:w="2098"/>
            <w:tcBorders>
              <w:top w:val="single" w:sz="4" w:color="BFC9DC"/>
              <w:left w:val="single" w:sz="4" w:color="BFC9DC"/>
              <w:bottom w:val="single" w:sz="4" w:color="BFC9DC"/>
              <w:right w:val="single" w:sz="4" w:color="BFC9DC"/>
            </w:tcBorders>
            <w:tcMar>
              <w:left w:w="68" w:type="dxa"/>
              <w:right w:w="68" w:type="dxa"/>
            </w:tcMar>
            <w:shd w:val="clear" w:color="auto" w:fill="EAF4EA"/>
          </w:tcPr>
          <w:p>
            <w:pPr>
              <w:spacing w:after="0" w:line="240" w:lineRule="auto"/>
            </w:pPr>
            <w:r>
              <w:rPr>
                <w:b w:val="0"/>
                <w:sz w:val="18"/>
              </w:rPr>
              <w:t>Prima de 11,3% sobre el valor de ATC (6,5 veces el EBITDA). El vendedor cobra algo que no podría lograr por su cuenta.</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Gana cualquier subasta, pero si solo se logra la mitad de las sinergias de ingresos, ACC pierde 888.</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No requiere deuda, pero ACC sigue sin oferta inalámbrica.</w:t>
            </w:r>
          </w:p>
        </w:tc>
      </w:tr>
      <w:tr>
        <w:tc>
          <w:tcPr>
            <w:tcW w:type="dxa" w:w="1474"/>
            <w:tcBorders>
              <w:top w:val="single" w:sz="4" w:color="BFC9DC"/>
              <w:left w:val="single" w:sz="4" w:color="BFC9DC"/>
              <w:bottom w:val="single" w:sz="4" w:color="BFC9DC"/>
              <w:right w:val="single" w:sz="4" w:color="BFC9DC"/>
            </w:tcBorders>
            <w:tcMar>
              <w:left w:w="68" w:type="dxa"/>
              <w:right w:w="68" w:type="dxa"/>
            </w:tcMar>
            <w:shd w:val="clear" w:color="auto" w:fill="F2F2F2"/>
          </w:tcPr>
          <w:p>
            <w:pPr>
              <w:spacing w:after="0" w:line="240" w:lineRule="auto"/>
            </w:pPr>
            <w:r>
              <w:rPr>
                <w:b/>
                <w:sz w:val="18"/>
              </w:rPr>
              <w:t>Riesgo principal</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Perder ATC frente a otro comprador.</w:t>
            </w:r>
          </w:p>
        </w:tc>
        <w:tc>
          <w:tcPr>
            <w:tcW w:type="dxa" w:w="2098"/>
            <w:tcBorders>
              <w:top w:val="single" w:sz="4" w:color="BFC9DC"/>
              <w:left w:val="single" w:sz="4" w:color="BFC9DC"/>
              <w:bottom w:val="single" w:sz="4" w:color="BFC9DC"/>
              <w:right w:val="single" w:sz="4" w:color="BFC9DC"/>
            </w:tcBorders>
            <w:tcMar>
              <w:left w:w="68" w:type="dxa"/>
              <w:right w:w="68" w:type="dxa"/>
            </w:tcMar>
            <w:shd w:val="clear" w:color="auto" w:fill="EAF4EA"/>
          </w:tcPr>
          <w:p>
            <w:pPr>
              <w:spacing w:after="0" w:line="240" w:lineRule="auto"/>
            </w:pPr>
            <w:r>
              <w:rPr>
                <w:b w:val="0"/>
                <w:sz w:val="18"/>
              </w:rPr>
              <w:t>Que el vendedor no baje de los precios del mercado.</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Pagar de más: transfiere al vendedor todo el valor que crea ACC.</w:t>
            </w:r>
          </w:p>
        </w:tc>
        <w:tc>
          <w:tcPr>
            <w:tcW w:type="dxa" w:w="1928"/>
            <w:tcBorders>
              <w:top w:val="single" w:sz="4" w:color="BFC9DC"/>
              <w:left w:val="single" w:sz="4" w:color="BFC9DC"/>
              <w:bottom w:val="single" w:sz="4" w:color="BFC9DC"/>
              <w:right w:val="single" w:sz="4" w:color="BFC9DC"/>
            </w:tcBorders>
            <w:tcMar>
              <w:left w:w="68" w:type="dxa"/>
              <w:right w:w="68" w:type="dxa"/>
            </w:tcMar>
          </w:tcPr>
          <w:p>
            <w:pPr>
              <w:spacing w:after="0" w:line="240" w:lineRule="auto"/>
            </w:pPr>
            <w:r>
              <w:rPr>
                <w:b w:val="0"/>
                <w:sz w:val="18"/>
              </w:rPr>
              <w:t>Que un competidor compre ATC.</w:t>
            </w:r>
          </w:p>
        </w:tc>
      </w:tr>
    </w:tbl>
    <w:p>
      <w:pPr>
        <w:keepNext/>
        <w:spacing w:after="30" w:before="200"/>
        <w:pBdr>
          <w:bottom w:val="single" w:sz="6" w:color="1F3864"/>
        </w:pBdr>
      </w:pPr>
      <w:r>
        <w:rPr>
          <w:b/>
          <w:color w:val="1F3864"/>
          <w:sz w:val="25"/>
        </w:rPr>
        <w:t>3. Recomendación: alternativa B, con tope de US$7.391 millones</w:t>
      </w:r>
    </w:p>
    <w:p>
      <w:pPr>
        <w:pStyle w:val="ListNumber"/>
        <w:spacing w:after="80"/>
        <w:ind w:left="340"/>
      </w:pPr>
      <w:r>
        <w:rPr>
          <w:b/>
          <w:sz w:val="21"/>
        </w:rPr>
        <w:t xml:space="preserve">El precio es disciplinado. </w:t>
      </w:r>
      <w:r>
        <w:rPr>
          <w:b w:val="0"/>
          <w:sz w:val="21"/>
        </w:rPr>
        <w:t>US$7.391 millones equivalen a 6,5 veces el EBITDA de 2007 y a una prima de 11,3% sobre el valor de ATC. El P/U histórico de la industria da un valor similar (US$6.010 millones); los múltiplos actuales de los comparables suponen un crecimiento que ATC no puede sostener con sus márgenes.</w:t>
      </w:r>
    </w:p>
    <w:p>
      <w:pPr>
        <w:pStyle w:val="ListNumber"/>
        <w:spacing w:after="80"/>
        <w:ind w:left="340"/>
      </w:pPr>
      <w:r>
        <w:rPr>
          <w:b/>
          <w:sz w:val="21"/>
        </w:rPr>
        <w:t xml:space="preserve">Solo se paga lo que ACC controla. </w:t>
      </w:r>
      <w:r>
        <w:rPr>
          <w:b w:val="0"/>
          <w:sz w:val="21"/>
        </w:rPr>
        <w:t>El ahorro de backhaul depende de la fibra de ACC y es la sinergia más cierta. Las sinergias de clientes empresariales (US$1.776 millones) quedan como margen de seguridad para ACC.</w:t>
      </w:r>
    </w:p>
    <w:p>
      <w:pPr>
        <w:pStyle w:val="ListNumber"/>
        <w:spacing w:after="80"/>
        <w:ind w:left="340"/>
      </w:pPr>
      <w:r>
        <w:rPr>
          <w:b/>
          <w:sz w:val="21"/>
        </w:rPr>
        <w:t xml:space="preserve">Estrategia de negociación. </w:t>
      </w:r>
      <w:r>
        <w:rPr>
          <w:b w:val="0"/>
          <w:sz w:val="21"/>
        </w:rPr>
        <w:t>Abrir en US$5.979 millones: el valor de ATC menos el 10% que le costaría salir a bolsa, que es la alternativa real del vendedor. Buscar US$7.017 millones, que comparte la mitad del ahorro de backhaul. Si el vendedor pide más, ofrecer un pago adicional condicionado a que se cumplan las metas de clientes empresariales, en vez de subir el precio fijo.</w:t>
      </w:r>
    </w:p>
    <w:p>
      <w:pPr>
        <w:pStyle w:val="ListNumber"/>
        <w:spacing w:after="80"/>
        <w:ind w:left="340"/>
      </w:pPr>
      <w:r>
        <w:rPr>
          <w:b/>
          <w:sz w:val="21"/>
        </w:rPr>
        <w:t xml:space="preserve">Condiciones para firmar. </w:t>
      </w:r>
      <w:r>
        <w:rPr>
          <w:b w:val="0"/>
          <w:sz w:val="21"/>
        </w:rPr>
        <w:t>(a) Revisar las afiliadas, que aportan US$1.719 millones (26% del valor). (b) Que la deuda no supere el 50% del valor: reducir el préstamo propuesto o aportar más capital, y garantizar la línea de crédito que ATC necesitará. (c) Si el precio supera US$7.391 millones, retirarse y negociar con ATC un acuerdo comercial de backhaul (alternativa D).</w:t>
      </w:r>
    </w:p>
    <w:p>
      <w:pPr>
        <w:keepNext/>
        <w:spacing w:after="30" w:before="200"/>
        <w:pBdr>
          <w:bottom w:val="single" w:sz="6" w:color="1F3864"/>
        </w:pBdr>
      </w:pPr>
      <w:r>
        <w:rPr>
          <w:b/>
          <w:color w:val="1F3864"/>
          <w:sz w:val="25"/>
        </w:rPr>
        <w:t>Referencias</w:t>
      </w:r>
    </w:p>
    <w:p>
      <w:pPr>
        <w:spacing w:after="80"/>
      </w:pPr>
      <w:r>
        <w:rPr>
          <w:b w:val="0"/>
          <w:sz w:val="18"/>
        </w:rPr>
        <w:t xml:space="preserve">Stafford, E. y Heilprin, J. (2011, rev. 2012). </w:t>
      </w:r>
      <w:r>
        <w:rPr>
          <w:b w:val="0"/>
          <w:i/>
          <w:sz w:val="18"/>
        </w:rPr>
        <w:t>Valuation of AirThread Connections</w:t>
      </w:r>
      <w:r>
        <w:rPr>
          <w:b w:val="0"/>
          <w:sz w:val="18"/>
        </w:rPr>
        <w:t>. Harvard Business School, caso 4263. Cifras: modelo financiero del Grupo 3 (Caso_2_Grupo_3_1.xlsx).</w:t>
      </w:r>
    </w:p>
    <w:sectPr w:rsidR="00FC693F" w:rsidRPr="0006063C" w:rsidSect="00034616">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