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Concesión del Aeropuerto de Neuquén: tasa de descuento que debemos proponer</w:t>
      </w:r>
    </w:p>
    <w:p>
      <w:pPr>
        <w:pBdr>
          <w:bottom w:val="single" w:color="1F3864" w:sz="12" w:space="4"/>
        </w:pBdr>
        <w:spacing w:after="10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Para: Junta Directiva – Aeropuertos del Neuquén S.A. / AA2000     De: Gerencia de Proyectos     Fecha: 23 de diciembre de 2004</w:t>
      </w:r>
    </w:p>
    <w:p>
      <w:pPr>
        <w:pBdr>
          <w:left w:val="single" w:color="548235" w:sz="24" w:space="6"/>
        </w:pBdr>
        <w:shd w:fill="E2EFDA" w:color="auto" w:val="clear"/>
        <w:spacing w:after="100" w:before="6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Recomendación: </w:t>
      </w:r>
      <w:r>
        <w:rPr>
          <w:rFonts w:ascii="Arial" w:cs="Arial" w:eastAsia="Arial" w:hAnsi="Arial"/>
          <w:sz w:val="21"/>
          <w:szCs w:val="21"/>
        </w:rPr>
        <w:t xml:space="preserve">proponer al regulador un WACC de 15,7% en dólares (costo del capital propio, porque AdeN no tiene deuda financiera). Abrir la negociación en 17,7% y no aceptar menos de 12,1%. Con ese piso, el capital todavía cubre el riesgo de invertir en Argentina.</w:t>
      </w:r>
    </w:p>
    <w:p>
      <w:pPr>
        <w:pBdr>
          <w:bottom w:val="single" w:color="1F3864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Situación</w:t>
      </w:r>
    </w:p>
    <w:p>
      <w:pPr>
        <w:spacing w:after="6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La renegociación del contrato está cerrada en todo menos un punto: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tasa a la que se descuentan los flujos de fondos</w:t>
      </w:r>
      <w:r>
        <w:rPr>
          <w:rFonts w:ascii="Arial" w:cs="Arial" w:eastAsia="Arial" w:hAnsi="Arial"/>
          <w:sz w:val="21"/>
          <w:szCs w:val="21"/>
        </w:rPr>
        <w:t xml:space="preserve">. De ella sale la tarifa que AdeN podrá cobrar durante la concesión. Los hechos que importan: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AdeN pierde dinero: </w:t>
      </w:r>
      <w:r>
        <w:rPr>
          <w:rFonts w:ascii="Arial" w:cs="Arial" w:eastAsia="Arial" w:hAnsi="Arial"/>
          <w:sz w:val="21"/>
          <w:szCs w:val="21"/>
        </w:rPr>
        <w:t xml:space="preserve">tuvo una pérdida operativa de $344 mil en 2004 y sobrevive con $4,4 millones de deudas con accionistas. Una tasa baja vuelve permanente esa situación.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Cada punto de WACC vale $57 mil por año </w:t>
      </w:r>
      <w:r>
        <w:rPr>
          <w:rFonts w:ascii="Arial" w:cs="Arial" w:eastAsia="Arial" w:hAnsi="Arial"/>
          <w:sz w:val="21"/>
          <w:szCs w:val="21"/>
        </w:rPr>
        <w:t xml:space="preserve">(1% × base de activos de $5,7 millones), es decir $0,18 por pasajero. El ingreso actual es de $6,23 por pasajero.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Ya hay acuerdo en el método: </w:t>
      </w:r>
      <w:r>
        <w:rPr>
          <w:rFonts w:ascii="Arial" w:cs="Arial" w:eastAsia="Arial" w:hAnsi="Arial"/>
          <w:sz w:val="21"/>
          <w:szCs w:val="21"/>
        </w:rPr>
        <w:t xml:space="preserve">WACC con CAPM y sin deuda (WACC = Ke). La discusión está en los insumos. La prima de mercado va de 2,9% a 8,1% según el período y el promedio que se use. La beta se toma de operadores comparables (0,55–0,75), porque AdeN no cotiza.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La variable decisiva es el riesgo país</w:t>
      </w:r>
      <w:r>
        <w:rPr>
          <w:rFonts w:ascii="Arial" w:cs="Arial" w:eastAsia="Arial" w:hAnsi="Arial"/>
          <w:sz w:val="21"/>
          <w:szCs w:val="21"/>
        </w:rPr>
        <w:t xml:space="preserve">: el EMBI+ de Argentina está en 4.668 pb por el default, y algunos reguladores (EPRE San Juan) directamente no lo incluyen.</w:t>
      </w:r>
    </w:p>
    <w:p>
      <w:pPr>
        <w:pBdr>
          <w:bottom w:val="single" w:color="1F3864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Alternativas evaluadas</w:t>
      </w:r>
    </w:p>
    <w:p>
      <w:p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Construimos tres combinaciones con los datos del caso (detalle y sensibilidades en el modelo Excel adjunto):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6"/>
        <w:gridCol w:w="2480"/>
        <w:gridCol w:w="2480"/>
        <w:gridCol w:w="2480"/>
      </w:tblGrid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(CAPM)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A. Postura del regulador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B. Máximo de la empresa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Propuesta recomendada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Tasa libre de riesgo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4,22% (bono 10 años, spot)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4,84% (bono 30 años)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4,77% (bono 10 años, prom. 2000–04)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 de mercado (ERP)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4,8% (geométrica)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7,2% (aritmética)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6,0% (reguladores price cap)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Beta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0,65 (comparables)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0,94 (+20% calificación, +20% tamaño)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0,78 (+20% calificación)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 regulatoria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 (ya está en la beta)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Riesgo país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pb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2.857 pb (Arg. 1996–2004)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619 pb (normalizado)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WACC = Ke (US$)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7,4%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42,2%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15,7%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Costo del capital por pasajero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$1,32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$7,55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$2,80</w:t>
            </w:r>
          </w:p>
        </w:tc>
      </w:tr>
      <w:tr>
        <w:tc>
          <w:tcPr>
            <w:tcW w:type="dxa" w:w="2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Costo del capital / ingresos 2004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121%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Costo del capital = WACC × base de activos regulados ($5,73 millones). Pasajeros 2004: 320 mil. Fuente: modelo Excel, hojas "Alternativas" y "Sensibilidad".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 Postura del regulador (7,4%). </w:t>
      </w:r>
      <w:r>
        <w:rPr>
          <w:rFonts w:ascii="Arial" w:cs="Arial" w:eastAsia="Arial" w:hAnsi="Arial"/>
          <w:sz w:val="21"/>
          <w:szCs w:val="21"/>
        </w:rPr>
        <w:t xml:space="preserve">Es la que la Provincia aceptaría sin discutir, pero exige el retorno de una empresa de servicios en EE.UU. a una inversión en un país en default. Ningún accionista pondría capital nuevo a esa tasa, se mantendrían las pérdidas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quedaría un precedente peligroso para los 33 aeropuertos de AA2000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 Máximo de la empresa (42,2%). </w:t>
      </w:r>
      <w:r>
        <w:rPr>
          <w:rFonts w:ascii="Arial" w:cs="Arial" w:eastAsia="Arial" w:hAnsi="Arial"/>
          <w:sz w:val="21"/>
          <w:szCs w:val="21"/>
        </w:rPr>
        <w:t xml:space="preserve">Se puede sostener con números del caso, pero el costo del capital sería el 121% de los ingresos actuales, así que las tasas tendrían que más que duplicarse. Con el riesgo país del día la tasa llegaría a 56%. El regulador la rechazaría y pondría en riesgo un acuerdo que ya está casi cerrado.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 Propuesta recomendada (15,7%). </w:t>
      </w:r>
      <w:r>
        <w:rPr>
          <w:rFonts w:ascii="Arial" w:cs="Arial" w:eastAsia="Arial" w:hAnsi="Arial"/>
          <w:sz w:val="21"/>
          <w:szCs w:val="21"/>
        </w:rPr>
        <w:t xml:space="preserve">Cada supuesto tiene un precedente regulatorio. Usa el riesgo país normalizado de 619 pb (CREG Colombia, 2003), casi igual al de Argentina antes de la crisis (659 pb), y no la cifra del default. Sube la beta 20%, como se hizo con la DAA de Dublín por una baja de calificación menor que la distancia entre A y la BBB+ de AA2000.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suma la prima regulatoria</w:t>
      </w:r>
      <w:r>
        <w:rPr>
          <w:rFonts w:ascii="Arial" w:cs="Arial" w:eastAsia="Arial" w:hAnsi="Arial"/>
          <w:sz w:val="21"/>
          <w:szCs w:val="21"/>
        </w:rPr>
        <w:t xml:space="preserve">: los cuatro comparables ya operan con price cap, así que sumarla sería contar el mismo riesgo dos veces, y la contraparte lo notaría.</w:t>
      </w:r>
    </w:p>
    <w:p>
      <w:pPr>
        <w:pBdr>
          <w:bottom w:val="single" w:color="1F3864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Recomendación</w:t>
      </w:r>
    </w:p>
    <w:p>
      <w:pPr>
        <w:spacing w:after="6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Adoptar la alternativa C y negociar con un rango definido de antemano: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Abrir en 17,7% </w:t>
      </w:r>
      <w:r>
        <w:rPr>
          <w:rFonts w:ascii="Arial" w:cs="Arial" w:eastAsia="Arial" w:hAnsi="Arial"/>
          <w:sz w:val="21"/>
          <w:szCs w:val="21"/>
        </w:rPr>
        <w:t xml:space="preserve">(C más la prima regulatoria de 2% que es consenso de mercado). Es una concesión que podemos ceder sin tocar el fondo de la propuesta.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Cerrar en 15,7%. </w:t>
      </w:r>
      <w:r>
        <w:rPr>
          <w:rFonts w:ascii="Arial" w:cs="Arial" w:eastAsia="Arial" w:hAnsi="Arial"/>
          <w:sz w:val="21"/>
          <w:szCs w:val="21"/>
        </w:rPr>
        <w:t xml:space="preserve">Es un resultado robusto: con cualquier prima de mercado entre 4,1% y 7,2%, el WACC solo se mueve entre 14,2% y 16,6%. Deja un costo del capital de $2,80 por pasajero (45% de los ingresos de 2004), que se puede trasladar a la tarifa sin el salto de la alternativa B.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Piso de 12,1% </w:t>
      </w:r>
      <w:r>
        <w:rPr>
          <w:rFonts w:ascii="Arial" w:cs="Arial" w:eastAsia="Arial" w:hAnsi="Arial"/>
          <w:sz w:val="21"/>
          <w:szCs w:val="21"/>
        </w:rPr>
        <w:t xml:space="preserve">(prima de mercado de 4,8% y riesgo país igual al promedio de emergentes, 354 pb). Si el regulador insiste en un riesgo país de cero, conviene seguir negociando antes que firmar: 7,4% no compensa el riesgo de invertir en Argentina.</w:t>
      </w:r>
    </w:p>
    <w:p>
      <w:pPr>
        <w:pStyle w:val="ListParagraph"/>
        <w:numPr>
          <w:ilvl w:val="0"/>
          <w:numId w:val="2"/>
        </w:numPr>
        <w:spacing w:after="40" w:line="264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Dos condiciones para firmar. </w:t>
      </w:r>
      <w:r>
        <w:rPr>
          <w:rFonts w:ascii="Arial" w:cs="Arial" w:eastAsia="Arial" w:hAnsi="Arial"/>
          <w:sz w:val="21"/>
          <w:szCs w:val="21"/>
        </w:rPr>
        <w:t xml:space="preserve">(i) Los flujos deben estar en dólares, porque la tasa se calculó en esa moneda; si están en pesos, hay que sumarle el diferencial de inflación. (ii) Una cláusula que revise el riesgo país cada 5 años según el EMBI+. Así, si Argentina se normaliza, la tasa baja: le da al regulador una razón para aceptar hoy y protege a los usuarios.</w:t>
      </w:r>
    </w:p>
    <w:p>
      <w:pPr>
        <w:spacing w:before="120"/>
        <w:jc w:val="both"/>
      </w:pPr>
      <w:r>
        <w:rPr>
          <w:rFonts w:ascii="Arial" w:cs="Arial" w:eastAsia="Arial" w:hAnsi="Arial"/>
          <w:b/>
          <w:bCs/>
          <w:sz w:val="14"/>
          <w:szCs w:val="14"/>
        </w:rPr>
        <w:t xml:space="preserve">Referencias: </w:t>
      </w:r>
      <w:r>
        <w:rPr>
          <w:rFonts w:ascii="Arial" w:cs="Arial" w:eastAsia="Arial" w:hAnsi="Arial"/>
          <w:color w:val="595959"/>
          <w:sz w:val="14"/>
          <w:szCs w:val="14"/>
        </w:rPr>
        <w:t xml:space="preserve">Preve, L. y Sarria Allende, V. (2009). Aeropuertos del Neuquén S.A. (A) “El costo de capital”, caso FZ-C-204-IA-1-s, IAE – Universidad Austral (Anexos 1–5). Damodaran, A. e Ibbotson &amp; Associates, primas de mercado de EE.UU. 1926–2003. Hutson, E. y Kearney, C., Dublin Airport Authority’s Cost of Capital. CREG Colombia (2003).</w:t>
      </w:r>
    </w:p>
    <w:sectPr>
      <w:pgSz w:w="12240" w:h="15840" w:orient="portrait"/>
      <w:pgMar w:top="1000" w:right="1017" w:bottom="900" w:left="10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4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2026-10-18T21:58:53.856Z</dcterms:created>
  <dcterms:modified xsi:type="dcterms:W3CDTF">2026-10-18T21:58:53.857Z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